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Новосибирской области от 26.12.2018 N 570-п</w:t>
              <w:br/>
              <w:t xml:space="preserve">(ред. от 06.02.2025)</w:t>
              <w:br/>
              <w:t xml:space="preserve">"Об утверждении государственной программы Новосибирской области "Развитие институтов региональной политики и гражданского общества в Новосибирской области"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ПРАВИТЕЛЬСТВО НОВОСИБИРСКОЙ ОБЛАСТИ</w:t>
      </w:r>
    </w:p>
    <w:p>
      <w:pPr>
        <w:pStyle w:val="2"/>
        <w:ind w:firstLine="540"/>
        <w:jc w:val="both"/>
      </w:pPr>
      <w:r>
        <w:rPr>
          <w:sz w:val="20"/>
        </w:rPr>
      </w:r>
    </w:p>
    <w:p>
      <w:pPr>
        <w:pStyle w:val="2"/>
        <w:jc w:val="center"/>
      </w:pPr>
      <w:r>
        <w:rPr>
          <w:sz w:val="20"/>
        </w:rPr>
        <w:t xml:space="preserve">ПОСТАНОВЛЕНИЕ</w:t>
      </w:r>
    </w:p>
    <w:p>
      <w:pPr>
        <w:pStyle w:val="2"/>
        <w:jc w:val="center"/>
      </w:pPr>
      <w:r>
        <w:rPr>
          <w:sz w:val="20"/>
        </w:rPr>
        <w:t xml:space="preserve">от 26 декабря 2018 г. N 570-п</w:t>
      </w:r>
    </w:p>
    <w:p>
      <w:pPr>
        <w:pStyle w:val="2"/>
        <w:ind w:firstLine="540"/>
        <w:jc w:val="both"/>
      </w:pPr>
      <w:r>
        <w:rPr>
          <w:sz w:val="20"/>
        </w:rPr>
      </w:r>
    </w:p>
    <w:p>
      <w:pPr>
        <w:pStyle w:val="2"/>
        <w:jc w:val="center"/>
      </w:pPr>
      <w:r>
        <w:rPr>
          <w:sz w:val="20"/>
        </w:rPr>
        <w:t xml:space="preserve">ОБ УТВЕРЖДЕНИИ ГОСУДАРСТВЕННОЙ ПРОГРАММЫ НОВОСИБИРСКОЙ</w:t>
      </w:r>
    </w:p>
    <w:p>
      <w:pPr>
        <w:pStyle w:val="2"/>
        <w:jc w:val="center"/>
      </w:pPr>
      <w:r>
        <w:rPr>
          <w:sz w:val="20"/>
        </w:rPr>
        <w:t xml:space="preserve">ОБЛАСТИ "РАЗВИТИЕ ИНСТИТУТОВ РЕГИОНАЛЬНОЙ ПОЛИТИКИ</w:t>
      </w:r>
    </w:p>
    <w:p>
      <w:pPr>
        <w:pStyle w:val="2"/>
        <w:jc w:val="center"/>
      </w:pPr>
      <w:r>
        <w:rPr>
          <w:sz w:val="20"/>
        </w:rPr>
        <w:t xml:space="preserve">И ГРАЖДАНСКОГО ОБЩЕСТВА В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26.08.2019 </w:t>
            </w:r>
            <w:hyperlink w:history="0" r:id="rId7" w:tooltip="Постановление Правительства Новосибирской области от 26.08.2019 N 342-п &quot;О внесении изменений в постановление Правительства Новосибирской области от 26.12.2018 N 570-п&quot; {КонсультантПлюс}">
              <w:r>
                <w:rPr>
                  <w:sz w:val="20"/>
                  <w:color w:val="0000ff"/>
                </w:rPr>
                <w:t xml:space="preserve">N 342-п</w:t>
              </w:r>
            </w:hyperlink>
            <w:r>
              <w:rPr>
                <w:sz w:val="20"/>
                <w:color w:val="392c69"/>
              </w:rPr>
              <w:t xml:space="preserve">, от 24.12.2019 </w:t>
            </w:r>
            <w:hyperlink w:history="0" r:id="rId8" w:tooltip="Постановление Правительства Новосибирской области от 24.12.2019 N 494-п &quot;О внесении изменений в постановление Правительства Новосибирской области от 26.12.2018 N 570-п&quot; {КонсультантПлюс}">
              <w:r>
                <w:rPr>
                  <w:sz w:val="20"/>
                  <w:color w:val="0000ff"/>
                </w:rPr>
                <w:t xml:space="preserve">N 494-п</w:t>
              </w:r>
            </w:hyperlink>
            <w:r>
              <w:rPr>
                <w:sz w:val="20"/>
                <w:color w:val="392c69"/>
              </w:rPr>
              <w:t xml:space="preserve">, от 14.04.2020 </w:t>
            </w:r>
            <w:hyperlink w:history="0" r:id="rId9" w:tooltip="Постановление Правительства Новосибирской области от 14.04.2020 N 117-п &quot;О внесении изменений в постановление Правительства Новосибирской области от 26.12.2018 N 570-п&quot; {КонсультантПлюс}">
              <w:r>
                <w:rPr>
                  <w:sz w:val="20"/>
                  <w:color w:val="0000ff"/>
                </w:rPr>
                <w:t xml:space="preserve">N 117-п</w:t>
              </w:r>
            </w:hyperlink>
            <w:r>
              <w:rPr>
                <w:sz w:val="20"/>
                <w:color w:val="392c69"/>
              </w:rPr>
              <w:t xml:space="preserve">,</w:t>
            </w:r>
          </w:p>
          <w:p>
            <w:pPr>
              <w:pStyle w:val="0"/>
              <w:jc w:val="center"/>
            </w:pPr>
            <w:r>
              <w:rPr>
                <w:sz w:val="20"/>
                <w:color w:val="392c69"/>
              </w:rPr>
              <w:t xml:space="preserve">от 04.08.2020 </w:t>
            </w:r>
            <w:hyperlink w:history="0" r:id="rId10"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N 320-п</w:t>
              </w:r>
            </w:hyperlink>
            <w:r>
              <w:rPr>
                <w:sz w:val="20"/>
                <w:color w:val="392c69"/>
              </w:rPr>
              <w:t xml:space="preserve">, от 16.02.2021 </w:t>
            </w:r>
            <w:hyperlink w:history="0" r:id="rId11" w:tooltip="Постановление Правительства Новосибирской области от 16.02.2021 N 37-п &quot;О внесении изменения в постановление Правительства Новосибирской области от 26.12.2018 N 570-п&quot; {КонсультантПлюс}">
              <w:r>
                <w:rPr>
                  <w:sz w:val="20"/>
                  <w:color w:val="0000ff"/>
                </w:rPr>
                <w:t xml:space="preserve">N 37-п</w:t>
              </w:r>
            </w:hyperlink>
            <w:r>
              <w:rPr>
                <w:sz w:val="20"/>
                <w:color w:val="392c69"/>
              </w:rPr>
              <w:t xml:space="preserve">, от 23.03.2021 </w:t>
            </w:r>
            <w:hyperlink w:history="0" r:id="rId12"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color w:val="392c69"/>
              </w:rPr>
              <w:t xml:space="preserve">,</w:t>
            </w:r>
          </w:p>
          <w:p>
            <w:pPr>
              <w:pStyle w:val="0"/>
              <w:jc w:val="center"/>
            </w:pPr>
            <w:r>
              <w:rPr>
                <w:sz w:val="20"/>
                <w:color w:val="392c69"/>
              </w:rPr>
              <w:t xml:space="preserve">от 01.06.2021 </w:t>
            </w:r>
            <w:hyperlink w:history="0" r:id="rId13"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N 194-п</w:t>
              </w:r>
            </w:hyperlink>
            <w:r>
              <w:rPr>
                <w:sz w:val="20"/>
                <w:color w:val="392c69"/>
              </w:rPr>
              <w:t xml:space="preserve">, от 17.11.2021 </w:t>
            </w:r>
            <w:hyperlink w:history="0" r:id="rId14"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N 464-п</w:t>
              </w:r>
            </w:hyperlink>
            <w:r>
              <w:rPr>
                <w:sz w:val="20"/>
                <w:color w:val="392c69"/>
              </w:rPr>
              <w:t xml:space="preserve">, от 18.01.2022 </w:t>
            </w:r>
            <w:hyperlink w:history="0" r:id="rId15" w:tooltip="Постановление Правительства Новосибирской области от 18.01.2022 N 1-п &quot;О внесении изменений в постановление Правительства Новосибирской области от 26.12.2018 N 570-п&quot; {КонсультантПлюс}">
              <w:r>
                <w:rPr>
                  <w:sz w:val="20"/>
                  <w:color w:val="0000ff"/>
                </w:rPr>
                <w:t xml:space="preserve">N 1-п</w:t>
              </w:r>
            </w:hyperlink>
            <w:r>
              <w:rPr>
                <w:sz w:val="20"/>
                <w:color w:val="392c69"/>
              </w:rPr>
              <w:t xml:space="preserve">,</w:t>
            </w:r>
          </w:p>
          <w:p>
            <w:pPr>
              <w:pStyle w:val="0"/>
              <w:jc w:val="center"/>
            </w:pPr>
            <w:r>
              <w:rPr>
                <w:sz w:val="20"/>
                <w:color w:val="392c69"/>
              </w:rPr>
              <w:t xml:space="preserve">от 29.03.2022 </w:t>
            </w:r>
            <w:hyperlink w:history="0" r:id="rId16" w:tooltip="Постановление Правительства Новосибирской области от 29.03.2022 N 122-п &quot;О внесении изменений в постановление Правительства Новосибирской области от 26.12.2018 N 570-п&quot; {КонсультантПлюс}">
              <w:r>
                <w:rPr>
                  <w:sz w:val="20"/>
                  <w:color w:val="0000ff"/>
                </w:rPr>
                <w:t xml:space="preserve">N 122-п</w:t>
              </w:r>
            </w:hyperlink>
            <w:r>
              <w:rPr>
                <w:sz w:val="20"/>
                <w:color w:val="392c69"/>
              </w:rPr>
              <w:t xml:space="preserve">, от 25.08.2022 </w:t>
            </w:r>
            <w:hyperlink w:history="0" r:id="rId17" w:tooltip="Постановление Правительства Новосибирской области от 25.08.2022 N 406-п &quot;О внесении изменений в постановление Правительства Новосибирской области от 26.12.2018 N 570-п&quot; {КонсультантПлюс}">
              <w:r>
                <w:rPr>
                  <w:sz w:val="20"/>
                  <w:color w:val="0000ff"/>
                </w:rPr>
                <w:t xml:space="preserve">N 406-п</w:t>
              </w:r>
            </w:hyperlink>
            <w:r>
              <w:rPr>
                <w:sz w:val="20"/>
                <w:color w:val="392c69"/>
              </w:rPr>
              <w:t xml:space="preserve">, от 01.11.2022 </w:t>
            </w:r>
            <w:hyperlink w:history="0" r:id="rId18" w:tooltip="Постановление Правительства Новосибирской области от 01.11.2022 N 507-п &quot;О внесении изменений в постановление Правительства Новосибирской области от 26.12.2018 N 570-п&quot; {КонсультантПлюс}">
              <w:r>
                <w:rPr>
                  <w:sz w:val="20"/>
                  <w:color w:val="0000ff"/>
                </w:rPr>
                <w:t xml:space="preserve">N 507-п</w:t>
              </w:r>
            </w:hyperlink>
            <w:r>
              <w:rPr>
                <w:sz w:val="20"/>
                <w:color w:val="392c69"/>
              </w:rPr>
              <w:t xml:space="preserve">,</w:t>
            </w:r>
          </w:p>
          <w:p>
            <w:pPr>
              <w:pStyle w:val="0"/>
              <w:jc w:val="center"/>
            </w:pPr>
            <w:r>
              <w:rPr>
                <w:sz w:val="20"/>
                <w:color w:val="392c69"/>
              </w:rPr>
              <w:t xml:space="preserve">от 14.02.2023 </w:t>
            </w:r>
            <w:hyperlink w:history="0" r:id="rId19"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N 30-п</w:t>
              </w:r>
            </w:hyperlink>
            <w:r>
              <w:rPr>
                <w:sz w:val="20"/>
                <w:color w:val="392c69"/>
              </w:rPr>
              <w:t xml:space="preserve">, от 28.03.2023 </w:t>
            </w:r>
            <w:hyperlink w:history="0" r:id="rId20"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N 120-п</w:t>
              </w:r>
            </w:hyperlink>
            <w:r>
              <w:rPr>
                <w:sz w:val="20"/>
                <w:color w:val="392c69"/>
              </w:rPr>
              <w:t xml:space="preserve">, от 25.04.2023 </w:t>
            </w:r>
            <w:hyperlink w:history="0" r:id="rId21" w:tooltip="Постановление Правительства Новосибирской области от 25.04.2023 N 173-п &quot;О внесении изменений в постановление Правительства Новосибирской области от 26.12.2018 N 570-п&quot; {КонсультантПлюс}">
              <w:r>
                <w:rPr>
                  <w:sz w:val="20"/>
                  <w:color w:val="0000ff"/>
                </w:rPr>
                <w:t xml:space="preserve">N 173-п</w:t>
              </w:r>
            </w:hyperlink>
            <w:r>
              <w:rPr>
                <w:sz w:val="20"/>
                <w:color w:val="392c69"/>
              </w:rPr>
              <w:t xml:space="preserve">,</w:t>
            </w:r>
          </w:p>
          <w:p>
            <w:pPr>
              <w:pStyle w:val="0"/>
              <w:jc w:val="center"/>
            </w:pPr>
            <w:r>
              <w:rPr>
                <w:sz w:val="20"/>
                <w:color w:val="392c69"/>
              </w:rPr>
              <w:t xml:space="preserve">от 11.07.2023 </w:t>
            </w:r>
            <w:hyperlink w:history="0" r:id="rId22" w:tooltip="Постановление Правительства Новосибирской области от 11.07.2023 N 295-п &quot;О внесении изменений в постановление Правительства Новосибирской области от 26.12.2018 N 570-п&quot; {КонсультантПлюс}">
              <w:r>
                <w:rPr>
                  <w:sz w:val="20"/>
                  <w:color w:val="0000ff"/>
                </w:rPr>
                <w:t xml:space="preserve">N 295-п</w:t>
              </w:r>
            </w:hyperlink>
            <w:r>
              <w:rPr>
                <w:sz w:val="20"/>
                <w:color w:val="392c69"/>
              </w:rPr>
              <w:t xml:space="preserve">, от 22.08.2023 </w:t>
            </w:r>
            <w:hyperlink w:history="0" r:id="rId23" w:tooltip="Постановление Правительства Новосибирской области от 22.08.2023 N 390-п &quot;О внесении изменений в постановление Правительства Новосибирской области от 26.12.2018 N 570-п&quot; {КонсультантПлюс}">
              <w:r>
                <w:rPr>
                  <w:sz w:val="20"/>
                  <w:color w:val="0000ff"/>
                </w:rPr>
                <w:t xml:space="preserve">N 390-п</w:t>
              </w:r>
            </w:hyperlink>
            <w:r>
              <w:rPr>
                <w:sz w:val="20"/>
                <w:color w:val="392c69"/>
              </w:rPr>
              <w:t xml:space="preserve">, от 28.11.2023 </w:t>
            </w:r>
            <w:hyperlink w:history="0" r:id="rId24"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color w:val="392c69"/>
              </w:rPr>
              <w:t xml:space="preserve">,</w:t>
            </w:r>
          </w:p>
          <w:p>
            <w:pPr>
              <w:pStyle w:val="0"/>
              <w:jc w:val="center"/>
            </w:pPr>
            <w:r>
              <w:rPr>
                <w:sz w:val="20"/>
                <w:color w:val="392c69"/>
              </w:rPr>
              <w:t xml:space="preserve">от 19.03.2024 </w:t>
            </w:r>
            <w:hyperlink w:history="0" r:id="rId25"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N 95-п</w:t>
              </w:r>
            </w:hyperlink>
            <w:r>
              <w:rPr>
                <w:sz w:val="20"/>
                <w:color w:val="392c69"/>
              </w:rPr>
              <w:t xml:space="preserve">, от 15.07.2024 </w:t>
            </w:r>
            <w:hyperlink w:history="0" r:id="rId26"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17.12.2024 </w:t>
            </w:r>
            <w:hyperlink w:history="0" r:id="rId2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w:t>
            </w:r>
          </w:p>
          <w:p>
            <w:pPr>
              <w:pStyle w:val="0"/>
              <w:jc w:val="center"/>
            </w:pPr>
            <w:r>
              <w:rPr>
                <w:sz w:val="20"/>
                <w:color w:val="392c69"/>
              </w:rPr>
              <w:t xml:space="preserve">от 06.02.2025 </w:t>
            </w:r>
            <w:hyperlink w:history="0" r:id="rId2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N 48-п</w:t>
              </w:r>
            </w:hyperlink>
            <w:r>
              <w:rPr>
                <w:sz w:val="20"/>
                <w:color w:val="392c69"/>
              </w:rPr>
              <w:t xml:space="preserve">,</w:t>
            </w:r>
          </w:p>
          <w:p>
            <w:pPr>
              <w:pStyle w:val="0"/>
              <w:jc w:val="center"/>
            </w:pPr>
            <w:r>
              <w:rPr>
                <w:sz w:val="20"/>
                <w:color w:val="392c69"/>
              </w:rPr>
              <w:t xml:space="preserve">с изм., внесенными </w:t>
            </w:r>
            <w:hyperlink w:history="0" r:id="rId29" w:tooltip="Постановление Правительства Новосибирской области от 16.03.2022 N 94-п (ред. от 11.02.2025) &quot;О приостановлении действия отдельных положений некоторых постановлений Правительства Новосибирской области&quot; {КонсультантПлюс}">
              <w:r>
                <w:rPr>
                  <w:sz w:val="20"/>
                  <w:color w:val="0000ff"/>
                </w:rPr>
                <w:t xml:space="preserve">постановлением</w:t>
              </w:r>
            </w:hyperlink>
            <w:r>
              <w:rPr>
                <w:sz w:val="20"/>
                <w:color w:val="392c69"/>
              </w:rPr>
              <w:t xml:space="preserve"> Правительства Новосибирской области</w:t>
            </w:r>
          </w:p>
          <w:p>
            <w:pPr>
              <w:pStyle w:val="0"/>
              <w:jc w:val="center"/>
            </w:pPr>
            <w:r>
              <w:rPr>
                <w:sz w:val="20"/>
                <w:color w:val="392c69"/>
              </w:rPr>
              <w:t xml:space="preserve">от 16.03.2022 N 94-п)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В соответствии с </w:t>
      </w:r>
      <w:hyperlink w:history="0" r:id="rId30" w:tooltip="Постановление Правительства Новосибирской области от 28.03.2014 N 125-п (ред. от 18.03.2025) &quot;О Порядке принятия решений о разработке государственных программ Новосибирской области, а также формирования и реализации указанных программ&quot; {КонсультантПлюс}">
        <w:r>
          <w:rPr>
            <w:sz w:val="20"/>
            <w:color w:val="0000ff"/>
          </w:rPr>
          <w:t xml:space="preserve">постановлением</w:t>
        </w:r>
      </w:hyperlink>
      <w:r>
        <w:rPr>
          <w:sz w:val="20"/>
        </w:rP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в целях обеспечения развития институтов региональной политики и гражданского общества Новосибирской области Правительство Новосибирской области постановляет:</w:t>
      </w:r>
    </w:p>
    <w:p>
      <w:pPr>
        <w:pStyle w:val="0"/>
        <w:spacing w:before="200" w:line-rule="auto"/>
        <w:ind w:firstLine="540"/>
        <w:jc w:val="both"/>
      </w:pPr>
      <w:r>
        <w:rPr>
          <w:sz w:val="20"/>
        </w:rPr>
        <w:t xml:space="preserve">1. Утвердить прилагаемую государственную </w:t>
      </w:r>
      <w:hyperlink w:history="0" w:anchor="P81" w:tooltip="ГОСУДАРСТВЕННАЯ ПРОГРАММА">
        <w:r>
          <w:rPr>
            <w:sz w:val="20"/>
            <w:color w:val="0000ff"/>
          </w:rPr>
          <w:t xml:space="preserve">программу</w:t>
        </w:r>
      </w:hyperlink>
      <w:r>
        <w:rPr>
          <w:sz w:val="20"/>
        </w:rPr>
        <w:t xml:space="preserve"> Новосибирской области "Развитие институтов региональной политики и гражданского общества в Новосибирской области" (далее - государственная программа).</w:t>
      </w:r>
    </w:p>
    <w:p>
      <w:pPr>
        <w:pStyle w:val="0"/>
        <w:spacing w:before="200" w:line-rule="auto"/>
        <w:ind w:firstLine="540"/>
        <w:jc w:val="both"/>
      </w:pPr>
      <w:r>
        <w:rPr>
          <w:sz w:val="20"/>
        </w:rPr>
        <w:t xml:space="preserve">2. Установить:</w:t>
      </w:r>
    </w:p>
    <w:p>
      <w:pPr>
        <w:pStyle w:val="0"/>
        <w:spacing w:before="200" w:line-rule="auto"/>
        <w:ind w:firstLine="540"/>
        <w:jc w:val="both"/>
      </w:pPr>
      <w:r>
        <w:rPr>
          <w:sz w:val="20"/>
        </w:rPr>
        <w:t xml:space="preserve">1) </w:t>
      </w:r>
      <w:hyperlink w:history="0" w:anchor="P802" w:tooltip="ПОРЯДОК">
        <w:r>
          <w:rPr>
            <w:sz w:val="20"/>
            <w:color w:val="0000ff"/>
          </w:rPr>
          <w:t xml:space="preserve">Порядок</w:t>
        </w:r>
      </w:hyperlink>
      <w:r>
        <w:rPr>
          <w:sz w:val="20"/>
        </w:rPr>
        <w:t xml:space="preserve"> финансирования мероприятий, предусмотренных государственной программой Новосибирской области "Развитие институтов региональной политики и гражданского общества в Новосибирской области" согласно приложению N 1 к настоящему постановлению;</w:t>
      </w:r>
    </w:p>
    <w:p>
      <w:pPr>
        <w:pStyle w:val="0"/>
        <w:spacing w:before="200" w:line-rule="auto"/>
        <w:ind w:firstLine="540"/>
        <w:jc w:val="both"/>
      </w:pPr>
      <w:r>
        <w:rPr>
          <w:sz w:val="20"/>
        </w:rPr>
        <w:t xml:space="preserve">2) утратил силу. - </w:t>
      </w:r>
      <w:hyperlink w:history="0" r:id="rId31"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04.08.2020 N 320-п;</w:t>
      </w:r>
    </w:p>
    <w:p>
      <w:pPr>
        <w:pStyle w:val="0"/>
        <w:spacing w:before="200" w:line-rule="auto"/>
        <w:ind w:firstLine="540"/>
        <w:jc w:val="both"/>
      </w:pPr>
      <w:r>
        <w:rPr>
          <w:sz w:val="20"/>
        </w:rPr>
        <w:t xml:space="preserve">3) утратил силу. - </w:t>
      </w:r>
      <w:hyperlink w:history="0" r:id="rId32"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01.06.2021 N 194-п;</w:t>
      </w:r>
    </w:p>
    <w:p>
      <w:pPr>
        <w:pStyle w:val="0"/>
        <w:spacing w:before="200" w:line-rule="auto"/>
        <w:ind w:firstLine="540"/>
        <w:jc w:val="both"/>
      </w:pPr>
      <w:r>
        <w:rPr>
          <w:sz w:val="20"/>
        </w:rPr>
        <w:t xml:space="preserve">4) </w:t>
      </w:r>
      <w:hyperlink w:history="0" w:anchor="P887" w:tooltip="ПОРЯДОК">
        <w:r>
          <w:rPr>
            <w:sz w:val="20"/>
            <w:color w:val="0000ff"/>
          </w:rPr>
          <w:t xml:space="preserve">Порядок</w:t>
        </w:r>
      </w:hyperlink>
      <w:r>
        <w:rPr>
          <w:sz w:val="20"/>
        </w:rPr>
        <w:t xml:space="preserve"> предоставления субсидий социально ориентированным некоммерческим организациям из областного бюджета Новосибирской области на реализацию мероприятий по организации и проведению поисковых работ по выявлению неизвестных воинских захоронений и непогребенных останков воинов, погибших при защите Отечества, согласно приложению N 4 к настоящему постановлению;</w:t>
      </w:r>
    </w:p>
    <w:p>
      <w:pPr>
        <w:pStyle w:val="0"/>
        <w:jc w:val="both"/>
      </w:pPr>
      <w:r>
        <w:rPr>
          <w:sz w:val="20"/>
        </w:rPr>
        <w:t xml:space="preserve">(в ред. </w:t>
      </w:r>
      <w:hyperlink w:history="0" r:id="rId33"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5) </w:t>
      </w:r>
      <w:hyperlink w:history="0" w:anchor="P1182" w:tooltip="ПОРЯДОК">
        <w:r>
          <w:rPr>
            <w:sz w:val="20"/>
            <w:color w:val="0000ff"/>
          </w:rPr>
          <w:t xml:space="preserve">Порядок</w:t>
        </w:r>
      </w:hyperlink>
      <w:r>
        <w:rPr>
          <w:sz w:val="20"/>
        </w:rPr>
        <w:t xml:space="preserve"> предоставления грантов в форме субсидий из областного бюджета Новосибирской области социально ориентированным некоммерческим организациям на реализацию социально значимых проектов согласно приложению N 5 к настоящему постановлению;</w:t>
      </w:r>
    </w:p>
    <w:p>
      <w:pPr>
        <w:pStyle w:val="0"/>
        <w:jc w:val="both"/>
      </w:pPr>
      <w:r>
        <w:rPr>
          <w:sz w:val="20"/>
        </w:rPr>
        <w:t xml:space="preserve">(в ред. </w:t>
      </w:r>
      <w:hyperlink w:history="0" r:id="rId34"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6) </w:t>
      </w:r>
      <w:hyperlink w:history="0" w:anchor="P1546" w:tooltip="ПОРЯДОК">
        <w:r>
          <w:rPr>
            <w:sz w:val="20"/>
            <w:color w:val="0000ff"/>
          </w:rPr>
          <w:t xml:space="preserve">Порядок</w:t>
        </w:r>
      </w:hyperlink>
      <w:r>
        <w:rPr>
          <w:sz w:val="20"/>
        </w:rPr>
        <w:t xml:space="preserve"> предоставления грантов в форме субсидий ресурсным центрам муниципальных районов, муниципальных и городских округов Новосибирской области из областного бюджета Новосибирской области на реализацию программ деятельности, направленных на развитие общественных инициатив и социально ориентированных некоммерческих организаций согласно приложению N 6 к настоящему постановлению;</w:t>
      </w:r>
    </w:p>
    <w:p>
      <w:pPr>
        <w:pStyle w:val="0"/>
        <w:jc w:val="both"/>
      </w:pPr>
      <w:r>
        <w:rPr>
          <w:sz w:val="20"/>
        </w:rPr>
        <w:t xml:space="preserve">(в ред. постановлений Правительства Новосибирской области от 15.07.2024 </w:t>
      </w:r>
      <w:hyperlink w:history="0" r:id="rId35"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rPr>
        <w:t xml:space="preserve">, от 17.12.2024 </w:t>
      </w:r>
      <w:hyperlink w:history="0" r:id="rId3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7) утратил силу. - </w:t>
      </w:r>
      <w:hyperlink w:history="0" r:id="rId37"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8) </w:t>
      </w:r>
      <w:hyperlink w:history="0" w:anchor="P1911" w:tooltip="ПОРЯДОК">
        <w:r>
          <w:rPr>
            <w:sz w:val="20"/>
            <w:color w:val="0000ff"/>
          </w:rPr>
          <w:t xml:space="preserve">Порядок</w:t>
        </w:r>
      </w:hyperlink>
      <w:r>
        <w:rPr>
          <w:sz w:val="20"/>
        </w:rPr>
        <w:t xml:space="preserve"> предоставления субсидий из областного бюджета Новосибирской области казачьим обществам на финансовое обеспечение затрат по проведению мероприятий в сфере развития российского казачества согласно приложению N 8 к настоящему постановлению.</w:t>
      </w:r>
    </w:p>
    <w:p>
      <w:pPr>
        <w:pStyle w:val="0"/>
        <w:jc w:val="both"/>
      </w:pPr>
      <w:r>
        <w:rPr>
          <w:sz w:val="20"/>
        </w:rPr>
        <w:t xml:space="preserve">(пп. 8 введен </w:t>
      </w:r>
      <w:hyperlink w:history="0" r:id="rId38"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 в ред. постановлений Правительства Новосибирской области от 25.04.2023 </w:t>
      </w:r>
      <w:hyperlink w:history="0" r:id="rId39" w:tooltip="Постановление Правительства Новосибирской области от 25.04.2023 N 173-п &quot;О внесении изменений в постановление Правительства Новосибирской области от 26.12.2018 N 570-п&quot; {КонсультантПлюс}">
        <w:r>
          <w:rPr>
            <w:sz w:val="20"/>
            <w:color w:val="0000ff"/>
          </w:rPr>
          <w:t xml:space="preserve">N 173-п</w:t>
        </w:r>
      </w:hyperlink>
      <w:r>
        <w:rPr>
          <w:sz w:val="20"/>
        </w:rPr>
        <w:t xml:space="preserve">, от 15.07.2024 </w:t>
      </w:r>
      <w:hyperlink w:history="0" r:id="rId40"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rPr>
        <w:t xml:space="preserve">)</w:t>
      </w:r>
    </w:p>
    <w:p>
      <w:pPr>
        <w:pStyle w:val="0"/>
        <w:spacing w:before="200" w:line-rule="auto"/>
        <w:ind w:firstLine="540"/>
        <w:jc w:val="both"/>
      </w:pPr>
      <w:r>
        <w:rPr>
          <w:sz w:val="20"/>
        </w:rPr>
        <w:t xml:space="preserve">3. Признать утратившими силу:</w:t>
      </w:r>
    </w:p>
    <w:p>
      <w:pPr>
        <w:pStyle w:val="0"/>
        <w:spacing w:before="200" w:line-rule="auto"/>
        <w:ind w:firstLine="540"/>
        <w:jc w:val="both"/>
      </w:pPr>
      <w:hyperlink w:history="0" r:id="rId41" w:tooltip="Постановление Правительства Новосибирской области от 19.01.2015 N 9-п (ред. от 19.11.2018) &quot;Об утверждении государственной программы Новосибирской области &quot;Государственная поддержка общественных инициатив, социально ориентированных некоммерческих организаций и развития институтов гражданского общества в Новосибирской области на 2015 - 2020 годы&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19.01.2015 N 9-п "Об утверждении государственной программы Новосибирской области "Государственная поддержка общественных инициатив, социально ориентированных некоммерческих организаций и развития институтов гражданского общества в Новосибирской области на 2015 - 2020 годы";</w:t>
      </w:r>
    </w:p>
    <w:p>
      <w:pPr>
        <w:pStyle w:val="0"/>
        <w:spacing w:before="200" w:line-rule="auto"/>
        <w:ind w:firstLine="540"/>
        <w:jc w:val="both"/>
      </w:pPr>
      <w:hyperlink w:history="0" r:id="rId42" w:tooltip="Постановление Правительства Новосибирской области от 14.12.2015 N 439-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14.12.2015 N 439-п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3" w:tooltip="Постановление Правительства Новосибирской области от 30.12.2015 N 475-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30.12.2015 N 475-п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4" w:tooltip="Постановление Правительства Новосибирской области от 14.12.2016 N 410-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14.12.2016 N 410-п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5" w:tooltip="Постановление Правительства Новосибирской области от 22.02.2017 N 80-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22.02.2017 N 80-п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6" w:tooltip="Постановление Правительства Новосибирской области от 27.07.2017 N 295-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27.07.2017 N 295-п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7" w:tooltip="Постановление Правительства Новосибирской области от 17.04.2018 N 149-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17.04.2018 N 149-п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8" w:tooltip="Постановление Правительства Новосибирской области от 19.06.2018 N 255-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19.06.2018 N 255-п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49" w:tooltip="Постановление Правительства Новосибирской области от 19.11.2018 N 479-п &quot;О внесении изменений в постановление Правительства Новосибирской области от 19.01.2015 N 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19.11.2018 N 479-п "О внесении изменений в постановление Правительства Новосибирской области от 19.01.2015 N 9-п";</w:t>
      </w:r>
    </w:p>
    <w:p>
      <w:pPr>
        <w:pStyle w:val="0"/>
        <w:spacing w:before="200" w:line-rule="auto"/>
        <w:ind w:firstLine="540"/>
        <w:jc w:val="both"/>
      </w:pPr>
      <w:hyperlink w:history="0" r:id="rId50" w:tooltip="Постановление Правительства Новосибирской области от 15.12.2015 N 449-п (ред. от 23.07.2018) &quot;О государственной программе Новосибирской области &quot;Развитие институтов региональной политики Новосибирской области на 2016 - 2021 годы&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15.12.2015 N 449-п "О государственной программе Новосибирской области "Развитие институтов региональной политики Новосибирской области на 2016 - 2021 годы";</w:t>
      </w:r>
    </w:p>
    <w:p>
      <w:pPr>
        <w:pStyle w:val="0"/>
        <w:spacing w:before="200" w:line-rule="auto"/>
        <w:ind w:firstLine="540"/>
        <w:jc w:val="both"/>
      </w:pPr>
      <w:hyperlink w:history="0" r:id="rId51" w:tooltip="Постановление Правительства Новосибирской области от 29.11.2016 N 386-п &quot;О внесении изменений в постановление Правительства Новосибирской области от 15.12.2015 N 44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29.11.2016 N 386-п "О внесении изменений в постановление Правительства Новосибирской области от 15.12.2015 N 449-п";</w:t>
      </w:r>
    </w:p>
    <w:p>
      <w:pPr>
        <w:pStyle w:val="0"/>
        <w:spacing w:before="200" w:line-rule="auto"/>
        <w:ind w:firstLine="540"/>
        <w:jc w:val="both"/>
      </w:pPr>
      <w:hyperlink w:history="0" r:id="rId52" w:tooltip="Постановление Правительства Новосибирской области от 15.02.2017 N 40-п &quot;О внесении изменений в постановление Правительства Новосибирской области от 15.12.2015 N 44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15.02.2017 N 40-п "О внесении изменений в постановление Правительства Новосибирской области от 15.12.2015 N 449-п";</w:t>
      </w:r>
    </w:p>
    <w:p>
      <w:pPr>
        <w:pStyle w:val="0"/>
        <w:spacing w:before="200" w:line-rule="auto"/>
        <w:ind w:firstLine="540"/>
        <w:jc w:val="both"/>
      </w:pPr>
      <w:hyperlink w:history="0" r:id="rId53" w:tooltip="Постановление Правительства Новосибирской области от 11.10.2017 N 384-п &quot;О внесении изменений в постановление Правительства Новосибирской области от 15.12.2015 N 44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11.10.2017 N 384-п "О внесении изменений в постановление Правительства Новосибирской области от 15.12.2015 N 449-п";</w:t>
      </w:r>
    </w:p>
    <w:p>
      <w:pPr>
        <w:pStyle w:val="0"/>
        <w:spacing w:before="200" w:line-rule="auto"/>
        <w:ind w:firstLine="540"/>
        <w:jc w:val="both"/>
      </w:pPr>
      <w:hyperlink w:history="0" r:id="rId54" w:tooltip="Постановление Правительства Новосибирской области от 23.01.2018 N 4-п &quot;О внесении изменений в постановление Правительства Новосибирской области от 15.12.2015 N 44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23.01.2018 N 4-п "О внесении изменений в постановление Правительства Новосибирской области от 15.12.2015 N 449-п";</w:t>
      </w:r>
    </w:p>
    <w:p>
      <w:pPr>
        <w:pStyle w:val="0"/>
        <w:spacing w:before="200" w:line-rule="auto"/>
        <w:ind w:firstLine="540"/>
        <w:jc w:val="both"/>
      </w:pPr>
      <w:hyperlink w:history="0" r:id="rId55" w:tooltip="Постановление Правительства Новосибирской области от 23.07.2018 N 316-п &quot;О внесении изменений в постановление Правительства Новосибирской области от 15.12.2015 N 449-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23.07.2018 N 316-п "О внесении изменений в постановление Правительства Новосибирской области от 15.12.2015 N 449-п";</w:t>
      </w:r>
    </w:p>
    <w:p>
      <w:pPr>
        <w:pStyle w:val="0"/>
        <w:spacing w:before="200" w:line-rule="auto"/>
        <w:ind w:firstLine="540"/>
        <w:jc w:val="both"/>
      </w:pPr>
      <w:hyperlink w:history="0" r:id="rId56" w:tooltip="Постановление Правительства Новосибирской области от 16.02.2015 N 60-п (ред. от 08.10.2018) &quot;Об утверждении государственной программы Новосибирской области &quot;Патриотическое воспитание граждан Российской Федерации в Новосибирской области на 2015 - 2020 годы&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16.02.2015 N 60-п "Об утверждении государственной программы Новосибирской области "Патриотическое воспитание граждан Российской Федерации в Новосибирской области на 2015 - 2020 годы";</w:t>
      </w:r>
    </w:p>
    <w:p>
      <w:pPr>
        <w:pStyle w:val="0"/>
        <w:spacing w:before="200" w:line-rule="auto"/>
        <w:ind w:firstLine="540"/>
        <w:jc w:val="both"/>
      </w:pPr>
      <w:hyperlink w:history="0" r:id="rId57" w:tooltip="Постановление Правительства Новосибирской области от 30.09.2015 N 361-п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30.09.2015 N 361-п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58" w:tooltip="Постановление Правительства Новосибирской области от 15.03.2016 N 64-п (ред. от 27.12.2016)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15.03.2016 N 64-п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59" w:tooltip="Постановление Правительства Новосибирской области от 27.12.2016 N 446-п &quot;О внесении изменений в постановление Правительства Новосибирской области от 16.02.2015 N 60-п и признании утратившим силу пункта 3 постановления Правительства Новосибирской области от 15.03.2016 N 64-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27.12.2016 N 446-п "О внесении изменений в постановление Правительства Новосибирской области от 16.02.2015 N 60-п и признании утратившим силу пункта 3 постановления Правительства Новосибирской области от 15.03.2016 N 64-п";</w:t>
      </w:r>
    </w:p>
    <w:p>
      <w:pPr>
        <w:pStyle w:val="0"/>
        <w:spacing w:before="200" w:line-rule="auto"/>
        <w:ind w:firstLine="540"/>
        <w:jc w:val="both"/>
      </w:pPr>
      <w:hyperlink w:history="0" r:id="rId60" w:tooltip="Постановление Правительства Новосибирской области от 22.08.2017 N 324-п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22.08.2017 N 324-п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61" w:tooltip="Постановление Правительства Новосибирской области от 21.03.2018 N 101-п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21.03.2018 N 101-п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62" w:tooltip="Постановление Правительства Новосибирской области от 17.05.2018 N 207-п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17.05.2018 N 207-п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63" w:tooltip="Постановление Правительства Новосибирской области от 08.10.2018 N 434-п &quot;О внесении изменений в постановление Правительства Новосибирской области от 16.02.2015 N 60-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08.10.2018 N 434-п "О внесении изменений в постановление Правительства Новосибирской области от 16.02.2015 N 60-п";</w:t>
      </w:r>
    </w:p>
    <w:p>
      <w:pPr>
        <w:pStyle w:val="0"/>
        <w:spacing w:before="200" w:line-rule="auto"/>
        <w:ind w:firstLine="540"/>
        <w:jc w:val="both"/>
      </w:pPr>
      <w:hyperlink w:history="0" r:id="rId64" w:tooltip="Постановление Правительства Новосибирской области от 08.06.2015 N 216-п (ред. от 13.02.2018) &quot;О государственной программе Новосибирской области &quot;Укрепление единства российской нации и этнокультурное развитие народов, проживающих на территории Новосибирской области, на 2015 - 2020 годы&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08.06.2015 N 216-п "О государственной программе Новосибирской области "Укрепление единства российской нации и этнокультурное развитие народов, проживающих на территории Новосибирской области, на 2015 - 2020 годы";</w:t>
      </w:r>
    </w:p>
    <w:p>
      <w:pPr>
        <w:pStyle w:val="0"/>
        <w:spacing w:before="200" w:line-rule="auto"/>
        <w:ind w:firstLine="540"/>
        <w:jc w:val="both"/>
      </w:pPr>
      <w:hyperlink w:history="0" r:id="rId65" w:tooltip="Постановление Правительства Новосибирской области от 23.08.2016 N 256-п &quot;О внесении изменений в постановление Правительства Новосибирской области от 08.06.2015 N 216-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23.08.2016 N 256-п "О внесении изменений в постановление Правительства Новосибирской области от 08.06.2015 N 216-п";</w:t>
      </w:r>
    </w:p>
    <w:p>
      <w:pPr>
        <w:pStyle w:val="0"/>
        <w:spacing w:before="200" w:line-rule="auto"/>
        <w:ind w:firstLine="540"/>
        <w:jc w:val="both"/>
      </w:pPr>
      <w:hyperlink w:history="0" r:id="rId66" w:tooltip="Постановление Правительства Новосибирской области от 14.02.2017 N 39-п &quot;О внесении изменений в постановление Правительства Новосибирской области от 08.06.2015 N 216-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14.02.2017 N 39-п "О внесении изменений в постановление Правительства Новосибирской области от 08.06.2015 N 216-п";</w:t>
      </w:r>
    </w:p>
    <w:p>
      <w:pPr>
        <w:pStyle w:val="0"/>
        <w:spacing w:before="200" w:line-rule="auto"/>
        <w:ind w:firstLine="540"/>
        <w:jc w:val="both"/>
      </w:pPr>
      <w:hyperlink w:history="0" r:id="rId67" w:tooltip="Постановление Правительства Новосибирской области от 22.11.2017 N 420-п &quot;О внесении изменений в постановление Правительства Новосибирской области от 08.06.2015 N 216-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22.11.2017 N 420-п "О внесении изменений в постановление Правительства Новосибирской области от 08.06.2015 N 216-п";</w:t>
      </w:r>
    </w:p>
    <w:p>
      <w:pPr>
        <w:pStyle w:val="0"/>
        <w:spacing w:before="200" w:line-rule="auto"/>
        <w:ind w:firstLine="540"/>
        <w:jc w:val="both"/>
      </w:pPr>
      <w:hyperlink w:history="0" r:id="rId68" w:tooltip="Постановление Правительства Новосибирской области от 13.02.2018 N 52-п &quot;О внесении изменений в постановление Правительства Новосибирской области от 08.06.2015 N 216-п&quot; ------------ Утратил силу или отменен {КонсультантПлюс}">
        <w:r>
          <w:rPr>
            <w:sz w:val="20"/>
            <w:color w:val="0000ff"/>
          </w:rPr>
          <w:t xml:space="preserve">постановление</w:t>
        </w:r>
      </w:hyperlink>
      <w:r>
        <w:rPr>
          <w:sz w:val="20"/>
        </w:rPr>
        <w:t xml:space="preserve"> Правительства Новосибирской области от 13.02.2018 N 52-п "О внесении изменений в постановление Правительства Новосибирской области от 08.06.2015 N 216-п".</w:t>
      </w:r>
    </w:p>
    <w:p>
      <w:pPr>
        <w:pStyle w:val="0"/>
        <w:spacing w:before="200" w:line-rule="auto"/>
        <w:ind w:firstLine="540"/>
        <w:jc w:val="both"/>
      </w:pPr>
      <w:r>
        <w:rPr>
          <w:sz w:val="20"/>
        </w:rPr>
        <w:t xml:space="preserve">4. Настоящее постановление вступает в силу с 1 января 2019 года.</w:t>
      </w:r>
    </w:p>
    <w:p>
      <w:pPr>
        <w:pStyle w:val="0"/>
        <w:spacing w:before="200" w:line-rule="auto"/>
        <w:ind w:firstLine="540"/>
        <w:jc w:val="both"/>
      </w:pPr>
      <w:r>
        <w:rPr>
          <w:sz w:val="20"/>
        </w:rPr>
        <w:t xml:space="preserve">5. Контроль за исполнением настоящего постановления возложить на первого заместителя Губернатора Новосибирской области Петухова Ю.Ф.</w:t>
      </w:r>
    </w:p>
    <w:p>
      <w:pPr>
        <w:pStyle w:val="0"/>
        <w:ind w:firstLine="540"/>
        <w:jc w:val="both"/>
      </w:pPr>
      <w:r>
        <w:rPr>
          <w:sz w:val="20"/>
        </w:rPr>
      </w:r>
    </w:p>
    <w:p>
      <w:pPr>
        <w:pStyle w:val="0"/>
        <w:jc w:val="right"/>
      </w:pPr>
      <w:r>
        <w:rPr>
          <w:sz w:val="20"/>
        </w:rPr>
        <w:t xml:space="preserve">Губернатор Новосибирской области</w:t>
      </w:r>
    </w:p>
    <w:p>
      <w:pPr>
        <w:pStyle w:val="0"/>
        <w:jc w:val="right"/>
      </w:pPr>
      <w:r>
        <w:rPr>
          <w:sz w:val="20"/>
        </w:rPr>
        <w:t xml:space="preserve">А.А.ТРАВНИКОВ</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Утверждена</w:t>
      </w:r>
    </w:p>
    <w:p>
      <w:pPr>
        <w:pStyle w:val="0"/>
        <w:jc w:val="right"/>
      </w:pPr>
      <w:r>
        <w:rPr>
          <w:sz w:val="20"/>
        </w:rPr>
        <w:t xml:space="preserve">постановлением</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81" w:name="P81"/>
    <w:bookmarkEnd w:id="81"/>
    <w:p>
      <w:pPr>
        <w:pStyle w:val="2"/>
        <w:jc w:val="center"/>
      </w:pPr>
      <w:r>
        <w:rPr>
          <w:sz w:val="20"/>
        </w:rPr>
        <w:t xml:space="preserve">ГОСУДАРСТВЕННАЯ ПРОГРАММА</w:t>
      </w:r>
    </w:p>
    <w:p>
      <w:pPr>
        <w:pStyle w:val="2"/>
        <w:jc w:val="center"/>
      </w:pPr>
      <w:r>
        <w:rPr>
          <w:sz w:val="20"/>
        </w:rPr>
        <w:t xml:space="preserve">НОВОСИБИРСКОЙ ОБЛАСТИ "РАЗВИТИЕ ИНСТИТУТОВ РЕГИОНАЛЬНОЙ</w:t>
      </w:r>
    </w:p>
    <w:p>
      <w:pPr>
        <w:pStyle w:val="2"/>
        <w:jc w:val="center"/>
      </w:pPr>
      <w:r>
        <w:rPr>
          <w:sz w:val="20"/>
        </w:rPr>
        <w:t xml:space="preserve">ПОЛИТИКИ И ГРАЖДАНСКОГО ОБЩЕСТВА В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26.08.2019 </w:t>
            </w:r>
            <w:hyperlink w:history="0" r:id="rId69" w:tooltip="Постановление Правительства Новосибирской области от 26.08.2019 N 342-п &quot;О внесении изменений в постановление Правительства Новосибирской области от 26.12.2018 N 570-п&quot; {КонсультантПлюс}">
              <w:r>
                <w:rPr>
                  <w:sz w:val="20"/>
                  <w:color w:val="0000ff"/>
                </w:rPr>
                <w:t xml:space="preserve">N 342-п</w:t>
              </w:r>
            </w:hyperlink>
            <w:r>
              <w:rPr>
                <w:sz w:val="20"/>
                <w:color w:val="392c69"/>
              </w:rPr>
              <w:t xml:space="preserve">, от 24.12.2019 </w:t>
            </w:r>
            <w:hyperlink w:history="0" r:id="rId70" w:tooltip="Постановление Правительства Новосибирской области от 24.12.2019 N 494-п &quot;О внесении изменений в постановление Правительства Новосибирской области от 26.12.2018 N 570-п&quot; {КонсультантПлюс}">
              <w:r>
                <w:rPr>
                  <w:sz w:val="20"/>
                  <w:color w:val="0000ff"/>
                </w:rPr>
                <w:t xml:space="preserve">N 494-п</w:t>
              </w:r>
            </w:hyperlink>
            <w:r>
              <w:rPr>
                <w:sz w:val="20"/>
                <w:color w:val="392c69"/>
              </w:rPr>
              <w:t xml:space="preserve">, от 14.04.2020 </w:t>
            </w:r>
            <w:hyperlink w:history="0" r:id="rId71" w:tooltip="Постановление Правительства Новосибирской области от 14.04.2020 N 117-п &quot;О внесении изменений в постановление Правительства Новосибирской области от 26.12.2018 N 570-п&quot; {КонсультантПлюс}">
              <w:r>
                <w:rPr>
                  <w:sz w:val="20"/>
                  <w:color w:val="0000ff"/>
                </w:rPr>
                <w:t xml:space="preserve">N 117-п</w:t>
              </w:r>
            </w:hyperlink>
            <w:r>
              <w:rPr>
                <w:sz w:val="20"/>
                <w:color w:val="392c69"/>
              </w:rPr>
              <w:t xml:space="preserve">,</w:t>
            </w:r>
          </w:p>
          <w:p>
            <w:pPr>
              <w:pStyle w:val="0"/>
              <w:jc w:val="center"/>
            </w:pPr>
            <w:r>
              <w:rPr>
                <w:sz w:val="20"/>
                <w:color w:val="392c69"/>
              </w:rPr>
              <w:t xml:space="preserve">от 04.08.2020 </w:t>
            </w:r>
            <w:hyperlink w:history="0" r:id="rId72"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N 320-п</w:t>
              </w:r>
            </w:hyperlink>
            <w:r>
              <w:rPr>
                <w:sz w:val="20"/>
                <w:color w:val="392c69"/>
              </w:rPr>
              <w:t xml:space="preserve">, от 23.03.2021 </w:t>
            </w:r>
            <w:hyperlink w:history="0" r:id="rId73"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color w:val="392c69"/>
              </w:rPr>
              <w:t xml:space="preserve">, от 01.06.2021 </w:t>
            </w:r>
            <w:hyperlink w:history="0" r:id="rId74"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N 194-п</w:t>
              </w:r>
            </w:hyperlink>
            <w:r>
              <w:rPr>
                <w:sz w:val="20"/>
                <w:color w:val="392c69"/>
              </w:rPr>
              <w:t xml:space="preserve">,</w:t>
            </w:r>
          </w:p>
          <w:p>
            <w:pPr>
              <w:pStyle w:val="0"/>
              <w:jc w:val="center"/>
            </w:pPr>
            <w:r>
              <w:rPr>
                <w:sz w:val="20"/>
                <w:color w:val="392c69"/>
              </w:rPr>
              <w:t xml:space="preserve">от 17.11.2021 </w:t>
            </w:r>
            <w:hyperlink w:history="0" r:id="rId75"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N 464-п</w:t>
              </w:r>
            </w:hyperlink>
            <w:r>
              <w:rPr>
                <w:sz w:val="20"/>
                <w:color w:val="392c69"/>
              </w:rPr>
              <w:t xml:space="preserve">, от 29.03.2022 </w:t>
            </w:r>
            <w:hyperlink w:history="0" r:id="rId76" w:tooltip="Постановление Правительства Новосибирской области от 29.03.2022 N 122-п &quot;О внесении изменений в постановление Правительства Новосибирской области от 26.12.2018 N 570-п&quot; {КонсультантПлюс}">
              <w:r>
                <w:rPr>
                  <w:sz w:val="20"/>
                  <w:color w:val="0000ff"/>
                </w:rPr>
                <w:t xml:space="preserve">N 122-п</w:t>
              </w:r>
            </w:hyperlink>
            <w:r>
              <w:rPr>
                <w:sz w:val="20"/>
                <w:color w:val="392c69"/>
              </w:rPr>
              <w:t xml:space="preserve">, от 01.11.2022 </w:t>
            </w:r>
            <w:hyperlink w:history="0" r:id="rId77" w:tooltip="Постановление Правительства Новосибирской области от 01.11.2022 N 507-п &quot;О внесении изменений в постановление Правительства Новосибирской области от 26.12.2018 N 570-п&quot; {КонсультантПлюс}">
              <w:r>
                <w:rPr>
                  <w:sz w:val="20"/>
                  <w:color w:val="0000ff"/>
                </w:rPr>
                <w:t xml:space="preserve">N 507-п</w:t>
              </w:r>
            </w:hyperlink>
            <w:r>
              <w:rPr>
                <w:sz w:val="20"/>
                <w:color w:val="392c69"/>
              </w:rPr>
              <w:t xml:space="preserve">,</w:t>
            </w:r>
          </w:p>
          <w:p>
            <w:pPr>
              <w:pStyle w:val="0"/>
              <w:jc w:val="center"/>
            </w:pPr>
            <w:r>
              <w:rPr>
                <w:sz w:val="20"/>
                <w:color w:val="392c69"/>
              </w:rPr>
              <w:t xml:space="preserve">от 14.02.2023 </w:t>
            </w:r>
            <w:hyperlink w:history="0" r:id="rId78"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N 30-п</w:t>
              </w:r>
            </w:hyperlink>
            <w:r>
              <w:rPr>
                <w:sz w:val="20"/>
                <w:color w:val="392c69"/>
              </w:rPr>
              <w:t xml:space="preserve">, от 28.03.2023 </w:t>
            </w:r>
            <w:hyperlink w:history="0" r:id="rId79"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N 120-п</w:t>
              </w:r>
            </w:hyperlink>
            <w:r>
              <w:rPr>
                <w:sz w:val="20"/>
                <w:color w:val="392c69"/>
              </w:rPr>
              <w:t xml:space="preserve">, от 11.07.2023 </w:t>
            </w:r>
            <w:hyperlink w:history="0" r:id="rId80" w:tooltip="Постановление Правительства Новосибирской области от 11.07.2023 N 295-п &quot;О внесении изменений в постановление Правительства Новосибирской области от 26.12.2018 N 570-п&quot; {КонсультантПлюс}">
              <w:r>
                <w:rPr>
                  <w:sz w:val="20"/>
                  <w:color w:val="0000ff"/>
                </w:rPr>
                <w:t xml:space="preserve">N 295-п</w:t>
              </w:r>
            </w:hyperlink>
            <w:r>
              <w:rPr>
                <w:sz w:val="20"/>
                <w:color w:val="392c69"/>
              </w:rPr>
              <w:t xml:space="preserve">,</w:t>
            </w:r>
          </w:p>
          <w:p>
            <w:pPr>
              <w:pStyle w:val="0"/>
              <w:jc w:val="center"/>
            </w:pPr>
            <w:r>
              <w:rPr>
                <w:sz w:val="20"/>
                <w:color w:val="392c69"/>
              </w:rPr>
              <w:t xml:space="preserve">от 28.11.2023 </w:t>
            </w:r>
            <w:hyperlink w:history="0" r:id="rId8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color w:val="392c69"/>
              </w:rPr>
              <w:t xml:space="preserve">, от 19.03.2024 </w:t>
            </w:r>
            <w:hyperlink w:history="0" r:id="rId82"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N 95-п</w:t>
              </w:r>
            </w:hyperlink>
            <w:r>
              <w:rPr>
                <w:sz w:val="20"/>
                <w:color w:val="392c69"/>
              </w:rPr>
              <w:t xml:space="preserve">, от 17.12.2024 </w:t>
            </w:r>
            <w:hyperlink w:history="0" r:id="rId8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2"/>
        <w:outlineLvl w:val="1"/>
        <w:jc w:val="center"/>
      </w:pPr>
      <w:r>
        <w:rPr>
          <w:sz w:val="20"/>
        </w:rPr>
        <w:t xml:space="preserve">I. Стратегические приоритеты в сфере реализации</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2"/>
        <w:jc w:val="center"/>
      </w:pPr>
      <w:r>
        <w:rPr>
          <w:sz w:val="20"/>
        </w:rPr>
        <w:t xml:space="preserve">(далее - государственная программа)</w:t>
      </w:r>
    </w:p>
    <w:p>
      <w:pPr>
        <w:pStyle w:val="0"/>
        <w:jc w:val="center"/>
      </w:pPr>
      <w:r>
        <w:rPr>
          <w:sz w:val="20"/>
        </w:rPr>
      </w:r>
    </w:p>
    <w:p>
      <w:pPr>
        <w:pStyle w:val="0"/>
        <w:jc w:val="center"/>
      </w:pPr>
      <w:r>
        <w:rPr>
          <w:sz w:val="20"/>
        </w:rPr>
        <w:t xml:space="preserve">(в ред. </w:t>
      </w:r>
      <w:hyperlink w:history="0" r:id="rId84"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w:t>
      </w:r>
    </w:p>
    <w:p>
      <w:pPr>
        <w:pStyle w:val="0"/>
        <w:jc w:val="center"/>
      </w:pPr>
      <w:r>
        <w:rPr>
          <w:sz w:val="20"/>
        </w:rPr>
        <w:t xml:space="preserve">от 19.03.2024 N 95-п)</w:t>
      </w:r>
    </w:p>
    <w:p>
      <w:pPr>
        <w:pStyle w:val="0"/>
        <w:ind w:firstLine="540"/>
        <w:jc w:val="both"/>
      </w:pPr>
      <w:r>
        <w:rPr>
          <w:sz w:val="20"/>
        </w:rPr>
      </w:r>
    </w:p>
    <w:p>
      <w:pPr>
        <w:pStyle w:val="2"/>
        <w:outlineLvl w:val="2"/>
        <w:jc w:val="center"/>
      </w:pPr>
      <w:r>
        <w:rPr>
          <w:sz w:val="20"/>
        </w:rPr>
        <w:t xml:space="preserve">1. Оценка текущего состояния сферы реализации</w:t>
      </w:r>
    </w:p>
    <w:p>
      <w:pPr>
        <w:pStyle w:val="2"/>
        <w:jc w:val="center"/>
      </w:pPr>
      <w:r>
        <w:rPr>
          <w:sz w:val="20"/>
        </w:rPr>
        <w:t xml:space="preserve">государственной программы</w:t>
      </w:r>
    </w:p>
    <w:p>
      <w:pPr>
        <w:pStyle w:val="0"/>
        <w:ind w:firstLine="540"/>
        <w:jc w:val="both"/>
      </w:pPr>
      <w:r>
        <w:rPr>
          <w:sz w:val="20"/>
        </w:rPr>
      </w:r>
    </w:p>
    <w:p>
      <w:pPr>
        <w:pStyle w:val="0"/>
        <w:ind w:firstLine="540"/>
        <w:jc w:val="both"/>
      </w:pPr>
      <w:r>
        <w:rPr>
          <w:sz w:val="20"/>
        </w:rPr>
        <w:t xml:space="preserve">Региональная политика Новосибирской области представляет собой комплекс отношений в области общественно-политического управления, включающий в себя взаимодействие различных общественных и публичных институтов.</w:t>
      </w:r>
    </w:p>
    <w:p>
      <w:pPr>
        <w:pStyle w:val="0"/>
        <w:spacing w:before="200" w:line-rule="auto"/>
        <w:ind w:firstLine="540"/>
        <w:jc w:val="both"/>
      </w:pPr>
      <w:r>
        <w:rPr>
          <w:sz w:val="20"/>
        </w:rPr>
        <w:t xml:space="preserve">К институтам региональной политики относятся органы государственной власти, органы местного самоуправления, население и институты гражданского общества.</w:t>
      </w:r>
    </w:p>
    <w:p>
      <w:pPr>
        <w:pStyle w:val="0"/>
        <w:spacing w:before="200" w:line-rule="auto"/>
        <w:ind w:firstLine="540"/>
        <w:jc w:val="both"/>
      </w:pPr>
      <w:r>
        <w:rPr>
          <w:sz w:val="20"/>
        </w:rPr>
        <w:t xml:space="preserve">Институты гражданского общества представляют собой реализованные через различные организационные формы направления деятельности граждан, направленные на решение социально значимых задач, в том числе национально-культурных, общественно-казачьих, религиозных, задач патриотической направленности.</w:t>
      </w:r>
    </w:p>
    <w:p>
      <w:pPr>
        <w:pStyle w:val="0"/>
        <w:spacing w:before="200" w:line-rule="auto"/>
        <w:ind w:firstLine="540"/>
        <w:jc w:val="both"/>
      </w:pPr>
      <w:r>
        <w:rPr>
          <w:sz w:val="20"/>
        </w:rPr>
        <w:t xml:space="preserve">Некоммерческий сектор является неотъемлемой частью экономики, вносит существенный вклад в развитие общества и решение социально-экономических проблем. Деятельность некоммерческих организаций, направленная на повышение уровня образования, культуры, здоровья населения, охрану окружающей среды, оказывает положительное влияние на темпы общественного и экономического роста страны.</w:t>
      </w:r>
    </w:p>
    <w:p>
      <w:pPr>
        <w:pStyle w:val="0"/>
        <w:spacing w:before="200" w:line-rule="auto"/>
        <w:ind w:firstLine="540"/>
        <w:jc w:val="both"/>
      </w:pPr>
      <w:r>
        <w:rPr>
          <w:sz w:val="20"/>
        </w:rPr>
        <w:t xml:space="preserve">Основным механизмом вовлечения граждан в решение общественно значимых вопросов является деятельность социально ориентированных некоммерческих организаций (далее - СО НКО).</w:t>
      </w:r>
    </w:p>
    <w:p>
      <w:pPr>
        <w:pStyle w:val="0"/>
        <w:spacing w:before="200" w:line-rule="auto"/>
        <w:ind w:firstLine="540"/>
        <w:jc w:val="both"/>
      </w:pPr>
      <w:r>
        <w:rPr>
          <w:sz w:val="20"/>
        </w:rPr>
        <w:t xml:space="preserve">СО НКО обеспечивают необходимый уровень горизонтального взаимодействия в обществе, основанный на долгосрочных связях, практиках совместной деятельности, который позволяет эффективно, оперативно и адресно решать социально значимые задачи.</w:t>
      </w:r>
    </w:p>
    <w:p>
      <w:pPr>
        <w:pStyle w:val="0"/>
        <w:spacing w:before="200" w:line-rule="auto"/>
        <w:ind w:firstLine="540"/>
        <w:jc w:val="both"/>
      </w:pPr>
      <w:r>
        <w:rPr>
          <w:sz w:val="20"/>
        </w:rPr>
        <w:t xml:space="preserve">Государство оказывает системные меры поддержки деятельности СО НКО, которые имеют широкую востребованность и содействуют развитию благотворительности. Помимо этого, совершенствуется федеральное законодательство, развиваются программы поддержки СО НКО на федеральном уровне: Правительством Российской Федерации в 2023 году утверждены Правила осуществления информационной поддержки СО НКО в форме содействия в создании официальных сайтов в информационно-телекоммуникационной сети "Интернет" и (или) обеспечении их функционирования путем использования федеральной государственной информационной системы "Единый портал государственных и муниципальных услуг (функций)".</w:t>
      </w:r>
    </w:p>
    <w:p>
      <w:pPr>
        <w:pStyle w:val="0"/>
        <w:spacing w:before="200" w:line-rule="auto"/>
        <w:ind w:firstLine="540"/>
        <w:jc w:val="both"/>
      </w:pPr>
      <w:r>
        <w:rPr>
          <w:sz w:val="20"/>
        </w:rPr>
        <w:t xml:space="preserve">На региональном уровне действует </w:t>
      </w:r>
      <w:hyperlink w:history="0" r:id="rId85"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 Закон установил полномочия органов государственной власти Новосибирской области в осуществлении государственной поддержки СО НКО, определил направления и формы государственной поддержки.</w:t>
      </w:r>
    </w:p>
    <w:p>
      <w:pPr>
        <w:pStyle w:val="0"/>
        <w:spacing w:before="200" w:line-rule="auto"/>
        <w:ind w:firstLine="540"/>
        <w:jc w:val="both"/>
      </w:pPr>
      <w:r>
        <w:rPr>
          <w:sz w:val="20"/>
        </w:rPr>
        <w:t xml:space="preserve">Формирование гражданского общества зависит не только от количества СО НКО и их активности при реализации интересов объединившихся граждан, но и от наличия эффективных механизмов взаимодействия исполнительных органов Новосибирской области, органов местного самоуправления муниципальных образований Новосибирской области с СО НКО при решении задач социально-экономического развития Новосибирской области.</w:t>
      </w:r>
    </w:p>
    <w:p>
      <w:pPr>
        <w:pStyle w:val="0"/>
        <w:spacing w:before="200" w:line-rule="auto"/>
        <w:ind w:firstLine="540"/>
        <w:jc w:val="both"/>
      </w:pPr>
      <w:r>
        <w:rPr>
          <w:sz w:val="20"/>
        </w:rPr>
        <w:t xml:space="preserve">Важным направлением деятельности по выстраиванию механизмов взаимодействия и развитию некоммерческого сектора стала активизация и стимулирование развития общественных инициатив путем оказания финансовой поддержки СО НКО на реализацию социально значимых проектов и программ на конкурсной основе, что осуществляется через ресурсные центры (СО НКО, целью деятельности которых является развитие среды, способствующей формированию инициативных групп граждан, созданию социально ориентированных некоммерческих организаций на территории Новосибирской области и развитию их дальнейшей деятельности).</w:t>
      </w:r>
    </w:p>
    <w:p>
      <w:pPr>
        <w:pStyle w:val="0"/>
        <w:spacing w:before="200" w:line-rule="auto"/>
        <w:ind w:firstLine="540"/>
        <w:jc w:val="both"/>
      </w:pPr>
      <w:r>
        <w:rPr>
          <w:sz w:val="20"/>
        </w:rPr>
        <w:t xml:space="preserve">Государственная поддержка СО НКО повышает устойчивость деятельности некоммерческого сектора экономики и позволяет оказать реальную помощь населению, осуществить множество полезных программ и проектов.</w:t>
      </w:r>
    </w:p>
    <w:p>
      <w:pPr>
        <w:pStyle w:val="0"/>
        <w:spacing w:before="200" w:line-rule="auto"/>
        <w:ind w:firstLine="540"/>
        <w:jc w:val="both"/>
      </w:pPr>
      <w:r>
        <w:rPr>
          <w:sz w:val="20"/>
        </w:rPr>
        <w:t xml:space="preserve">Новосибирская область включает в состав своей территории 442 муниципальных образования пяти видов:</w:t>
      </w:r>
    </w:p>
    <w:p>
      <w:pPr>
        <w:pStyle w:val="0"/>
        <w:jc w:val="both"/>
      </w:pPr>
      <w:r>
        <w:rPr>
          <w:sz w:val="20"/>
        </w:rPr>
        <w:t xml:space="preserve">(в ред. </w:t>
      </w:r>
      <w:hyperlink w:history="0" r:id="rId8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27 муниципальных районов;</w:t>
      </w:r>
    </w:p>
    <w:p>
      <w:pPr>
        <w:pStyle w:val="0"/>
        <w:jc w:val="both"/>
      </w:pPr>
      <w:r>
        <w:rPr>
          <w:sz w:val="20"/>
        </w:rPr>
        <w:t xml:space="preserve">(в ред. </w:t>
      </w:r>
      <w:hyperlink w:history="0" r:id="rId8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3 муниципальных округа;</w:t>
      </w:r>
    </w:p>
    <w:p>
      <w:pPr>
        <w:pStyle w:val="0"/>
        <w:jc w:val="both"/>
      </w:pPr>
      <w:r>
        <w:rPr>
          <w:sz w:val="20"/>
        </w:rPr>
        <w:t xml:space="preserve">(в ред. </w:t>
      </w:r>
      <w:hyperlink w:history="0" r:id="rId8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5 городских округов;</w:t>
      </w:r>
    </w:p>
    <w:p>
      <w:pPr>
        <w:pStyle w:val="0"/>
        <w:jc w:val="both"/>
      </w:pPr>
      <w:r>
        <w:rPr>
          <w:sz w:val="20"/>
        </w:rPr>
        <w:t xml:space="preserve">(в ред. </w:t>
      </w:r>
      <w:hyperlink w:history="0" r:id="rId8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23 городских поселения;</w:t>
      </w:r>
    </w:p>
    <w:p>
      <w:pPr>
        <w:pStyle w:val="0"/>
        <w:jc w:val="both"/>
      </w:pPr>
      <w:r>
        <w:rPr>
          <w:sz w:val="20"/>
        </w:rPr>
        <w:t xml:space="preserve">(в ред. </w:t>
      </w:r>
      <w:hyperlink w:history="0" r:id="rId9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384 сельских поселения, что составляет 86,9% муниципальных образований Новосибирской области. При этом 225 сельских поселений (58,6% от их общего числа) насчитывают менее 1000 жителей (в каждом поселении).</w:t>
      </w:r>
    </w:p>
    <w:p>
      <w:pPr>
        <w:pStyle w:val="0"/>
        <w:jc w:val="both"/>
      </w:pPr>
      <w:r>
        <w:rPr>
          <w:sz w:val="20"/>
        </w:rPr>
        <w:t xml:space="preserve">(в ред. </w:t>
      </w:r>
      <w:hyperlink w:history="0" r:id="rId9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Деятельность органов местного самоуправления оказывает значительное влияние на социально-экономическое развитие Новосибирской области. Поэтому по-прежнему актуальными остаются вопросы законодательного регулирования объемов полномочий органов местного самоуправления, укрепления финансовой самостоятельности муниципальных образований, а также создания условий для обеспечения органов местного самоуправления специалистами с высоким уровнем квалификации. Существует проблема нарастания пассивности и отчужденности населения от местной власти и обособленности местного самоуправления.</w:t>
      </w:r>
    </w:p>
    <w:p>
      <w:pPr>
        <w:pStyle w:val="0"/>
        <w:spacing w:before="200" w:line-rule="auto"/>
        <w:ind w:firstLine="540"/>
        <w:jc w:val="both"/>
      </w:pPr>
      <w:r>
        <w:rPr>
          <w:sz w:val="20"/>
        </w:rPr>
        <w:t xml:space="preserve">Финансовая составляющая является важным рычагом вовлечения населения в различные формы осуществления местного самоуправления, создает возможность проявлять гражданам местные инициативы. Недостаточное финансирование муниципальных образований тормозит процессы вовлечения населения в решение вопросов местного значения. Оказание финансовой поддержки со стороны органов государственной власти муниципалитетам является важным элементом развития участия населения в осуществлении местного самоуправления и развитии территорий Новосибирской области.</w:t>
      </w:r>
    </w:p>
    <w:p>
      <w:pPr>
        <w:pStyle w:val="0"/>
        <w:spacing w:before="200" w:line-rule="auto"/>
        <w:ind w:firstLine="540"/>
        <w:jc w:val="both"/>
      </w:pPr>
      <w:r>
        <w:rPr>
          <w:sz w:val="20"/>
        </w:rPr>
        <w:t xml:space="preserve">Для реализации данного направления в Новосибирской области оказывается государственная поддержка муниципальным образованиям Новосибирской области: муниципальным округам и поселениям по результатам конкурса проектов предоставляются гранты в форме субсидий на реализацию социально значимых проектов в сфере развития общественной инфраструктуры, муниципальным районам, муниципальным и городским округам - субсидии на реализацию муниципальных программ развития территориального общественного самоуправления.</w:t>
      </w:r>
    </w:p>
    <w:p>
      <w:pPr>
        <w:pStyle w:val="0"/>
        <w:jc w:val="both"/>
      </w:pPr>
      <w:r>
        <w:rPr>
          <w:sz w:val="20"/>
        </w:rPr>
        <w:t xml:space="preserve">(в ред. </w:t>
      </w:r>
      <w:hyperlink w:history="0" r:id="rId92"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Таким образом, поддержка органов местного самоуправления, активно развивающих инициативы граждан и их общественную деятельность по приведению в надлежащее состояние населенных пунктов, является стимулирующим фактором для социально-экономического развития муниципальных образований и эффективной реализации органами местного самоуправления своих полномочий.</w:t>
      </w:r>
    </w:p>
    <w:p>
      <w:pPr>
        <w:pStyle w:val="0"/>
        <w:spacing w:before="200" w:line-rule="auto"/>
        <w:ind w:firstLine="540"/>
        <w:jc w:val="both"/>
      </w:pPr>
      <w:r>
        <w:rPr>
          <w:sz w:val="20"/>
        </w:rPr>
        <w:t xml:space="preserve">Вызовам современной реальности эффективно противостоять может только сплоченное российское общество, построенное на традиционных духовно-нравственных ценностях, объединяющее социально активных граждан со зрелым гражданским самосознанием, которые осознанно включены в жизнь и развитие своей страны.</w:t>
      </w:r>
    </w:p>
    <w:p>
      <w:pPr>
        <w:pStyle w:val="0"/>
        <w:spacing w:before="200" w:line-rule="auto"/>
        <w:ind w:firstLine="540"/>
        <w:jc w:val="both"/>
      </w:pPr>
      <w:r>
        <w:rPr>
          <w:sz w:val="20"/>
        </w:rPr>
        <w:t xml:space="preserve">Обострение внешнеполитических проблем, усиление межгосударственных противоречий, экономическая нестабильность, попытки разрушения традиционных ценностей, искажения мировой истории, пересмотра взглядов на роль и место России в ней, реабилитации фашизма, разжигания межнациональных и межконфессиональных конфликтов, распространение деструктивных идеологий, насаждение чуждых нравственных и поведенческих моделей - все это требует оперативного и адекватного реагирования со стороны системы патриотического воспитания. Патриотическому воспитанию необходимо отвечать задачам дальнейшего укрепления российской государственности и консолидации общества, обеспечивать идейную и идеологическую основу наращиванию экономической и политической мощи России.</w:t>
      </w:r>
    </w:p>
    <w:p>
      <w:pPr>
        <w:pStyle w:val="0"/>
        <w:spacing w:before="200" w:line-rule="auto"/>
        <w:ind w:firstLine="540"/>
        <w:jc w:val="both"/>
      </w:pPr>
      <w:r>
        <w:rPr>
          <w:sz w:val="20"/>
        </w:rPr>
        <w:t xml:space="preserve">На территории Новосибирской области осуществляет свою деятельность государственное казенное учреждение Новосибирской области "Центр гражданского, патриотического воспитания и общественных проектов", создан координационный (межведомственный) совет по патриотическому воспитанию, в муниципальных районах, муниципальных и городских округах также созданы координационные советы патриотического воспитания, приняты и реализуются муниципальные программы в сфере патриотического воспитания, нормативные правовые акты в области патриотического воспитания.</w:t>
      </w:r>
    </w:p>
    <w:p>
      <w:pPr>
        <w:pStyle w:val="0"/>
        <w:jc w:val="both"/>
      </w:pPr>
      <w:r>
        <w:rPr>
          <w:sz w:val="20"/>
        </w:rPr>
        <w:t xml:space="preserve">(в ред. </w:t>
      </w:r>
      <w:hyperlink w:history="0" r:id="rId9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Регион активно участвует в проведении всероссийских мероприятий патриотической повестки, участвует в межрегиональных и всероссийских акциях, мероприятиях, семинарах, форумных кампаниях.</w:t>
      </w:r>
    </w:p>
    <w:p>
      <w:pPr>
        <w:pStyle w:val="0"/>
        <w:spacing w:before="200" w:line-rule="auto"/>
        <w:ind w:firstLine="540"/>
        <w:jc w:val="both"/>
      </w:pPr>
      <w:r>
        <w:rPr>
          <w:sz w:val="20"/>
        </w:rPr>
        <w:t xml:space="preserve">Активно реализуется комплекс мероприятий по совершенствованию форм и методов работы по патриотическому воспитанию граждан, что обеспечивает постоянный рост количества участников мероприятий патриотической направленности в разных возрастных и социальных группах.</w:t>
      </w:r>
    </w:p>
    <w:p>
      <w:pPr>
        <w:pStyle w:val="0"/>
        <w:spacing w:before="200" w:line-rule="auto"/>
        <w:ind w:firstLine="540"/>
        <w:jc w:val="both"/>
      </w:pPr>
      <w:r>
        <w:rPr>
          <w:sz w:val="20"/>
        </w:rPr>
        <w:t xml:space="preserve">На принципах межведомственного взаимодействия с участием представителей ветеранских и общественных организаций осуществляется проведение мероприятий, направленных на повышение уровня подготовки курсантов военно-патриотических клубов, укрепление престижа службы в Вооруженных Силах Российской Федерации. Осуществляется системная деятельность по популяризации подвигов Героев Советского Союза, Героев Российской Федерации, лиц, награжденных государственными наградами, а также вовлечение представителей геройского сообщества в работу по патриотическому воспитанию.</w:t>
      </w:r>
    </w:p>
    <w:p>
      <w:pPr>
        <w:pStyle w:val="0"/>
        <w:spacing w:before="200" w:line-rule="auto"/>
        <w:ind w:firstLine="540"/>
        <w:jc w:val="both"/>
      </w:pPr>
      <w:r>
        <w:rPr>
          <w:sz w:val="20"/>
        </w:rPr>
        <w:t xml:space="preserve">Традиционно приоритетной является задача оказания организационной, информационной и материально-технической помощи военно-патриотическим клубам и патриотическим объединениям Новосибирской области.</w:t>
      </w:r>
    </w:p>
    <w:p>
      <w:pPr>
        <w:pStyle w:val="0"/>
        <w:spacing w:before="200" w:line-rule="auto"/>
        <w:ind w:firstLine="540"/>
        <w:jc w:val="both"/>
      </w:pPr>
      <w:r>
        <w:rPr>
          <w:sz w:val="20"/>
        </w:rPr>
        <w:t xml:space="preserve">По итогам мониторинга результатов проведения в 2023 году на территории Новосибирской области мероприятий патриотической направленности установлено, что 91,6% респондентов считают себя патриотами. Основными проявлениями патриотизма респонденты считают любовь к Родине и гордость за нее, отсутствие желания уезжать за границу, труд на благо Родины.</w:t>
      </w:r>
    </w:p>
    <w:p>
      <w:pPr>
        <w:pStyle w:val="0"/>
        <w:spacing w:before="200" w:line-rule="auto"/>
        <w:ind w:firstLine="540"/>
        <w:jc w:val="both"/>
      </w:pPr>
      <w:r>
        <w:rPr>
          <w:sz w:val="20"/>
        </w:rPr>
        <w:t xml:space="preserve">Реализуемые в этой сфере мероприятия основываются на понимании патриотического воспитания как базового социального фактора в укреплении российской государственности, консолидации российского общества, обеспечении национальной безопасности, достижении российской гражданской идентичности населением страны. Практическая деятельность по реализации мероприятий позволяет формировать многоуровневую государственно-общественную систему патриотического воспитания. Объединение усилий органов власти, органов местного самоуправления и общественных организаций позволит осуществить развитие патриотизма в Новосибирской области.</w:t>
      </w:r>
    </w:p>
    <w:p>
      <w:pPr>
        <w:pStyle w:val="0"/>
        <w:spacing w:before="200" w:line-rule="auto"/>
        <w:ind w:firstLine="540"/>
        <w:jc w:val="both"/>
      </w:pPr>
      <w:r>
        <w:rPr>
          <w:sz w:val="20"/>
        </w:rPr>
        <w:t xml:space="preserve">Особенно актуальными направлениями деятельности по патриотическому воспитанию является деятельность по созданию инфраструктуры для осуществления военно-патриотического воспитания, материально-технической поддержке военно-патриотических клубов и объединений; развитие системы подготовки профессиональных кадров; усиление информационного сопровождения работы в сфере патриотического воспитания, в том числе по формированию общественного мнения, поддерживающего цели и задачи военно-патриотического воспитания за счет привлечения средств массовой информации, активного использования интернет-ресурсов, новых медиа, социальной рекламы; поддержка деятельности некоммерческих общественных организаций, реализующих проекты по патриотическому воспитанию; привлечение к реализации мероприятий патриотической направленности представителей реального сектора экономики.</w:t>
      </w:r>
    </w:p>
    <w:p>
      <w:pPr>
        <w:pStyle w:val="0"/>
        <w:spacing w:before="200" w:line-rule="auto"/>
        <w:ind w:firstLine="540"/>
        <w:jc w:val="both"/>
      </w:pPr>
      <w:r>
        <w:rPr>
          <w:sz w:val="20"/>
        </w:rPr>
        <w:t xml:space="preserve">Новосибирская область традиционно является многонациональным (полиэтничным) и многоконфессиональным регионом. На территории Новосибирской области проживают представители более 180 народов (этнических общностей). Многонациональный состав городов и сел определяет своеобразие региона и во многом особенности его дальнейшего социокультурного развития и формирования национальной политики на территории Новосибирской области.</w:t>
      </w:r>
    </w:p>
    <w:p>
      <w:pPr>
        <w:pStyle w:val="0"/>
        <w:spacing w:before="200" w:line-rule="auto"/>
        <w:ind w:firstLine="540"/>
        <w:jc w:val="both"/>
      </w:pPr>
      <w:r>
        <w:rPr>
          <w:sz w:val="20"/>
        </w:rPr>
        <w:t xml:space="preserve">Существенное влияние на этнодемографическую ситуацию в регионе оказывает миграция населения. Новосибирская область является привлекательным регионом для иностранных граждан, приезжающих из других регионов России, особенно регионов Сибирского и Дальневосточного федеральных округов. Также существенно значимы миграционные потоки из ближнего зарубежья - Узбекистана, Казахстана, Таджикистана, Кыргызстана и Азербайджана.</w:t>
      </w:r>
    </w:p>
    <w:p>
      <w:pPr>
        <w:pStyle w:val="0"/>
        <w:spacing w:before="200" w:line-rule="auto"/>
        <w:ind w:firstLine="540"/>
        <w:jc w:val="both"/>
      </w:pPr>
      <w:r>
        <w:rPr>
          <w:sz w:val="20"/>
        </w:rPr>
        <w:t xml:space="preserve">Высокий уровень миграции и миграционного давления на социальную сферу Новосибирской области требует особого внимания к политике и практике социальной и культурной адаптации и интеграции иностранных граждан, прежде всего иностранных трудовых мигрантов. Существенной проблемой является то, что иностранные граждане, получившие российское гражданство, склонны к анклавизации и не стремятся интегрироваться в местное сообщество, а также в своем большинстве слабо владеют русским языком и недостаточно знают как историю России, так и основы законодательства Российской Федерации.</w:t>
      </w:r>
    </w:p>
    <w:p>
      <w:pPr>
        <w:pStyle w:val="0"/>
        <w:spacing w:before="200" w:line-rule="auto"/>
        <w:ind w:firstLine="540"/>
        <w:jc w:val="both"/>
      </w:pPr>
      <w:r>
        <w:rPr>
          <w:sz w:val="20"/>
        </w:rPr>
        <w:t xml:space="preserve">В целом миграционные процессы необходимо ориентировать на привлечение высококвалифицированных и социально активных иностранных граждан, обращая особое внимание на изменение структуры миграции: снижая зависимость региона от трудовой неквалифицированной миграции и наращивая академическую, научную, туристическую миграцию.</w:t>
      </w:r>
    </w:p>
    <w:p>
      <w:pPr>
        <w:pStyle w:val="0"/>
        <w:spacing w:before="200" w:line-rule="auto"/>
        <w:ind w:firstLine="540"/>
        <w:jc w:val="both"/>
      </w:pPr>
      <w:r>
        <w:rPr>
          <w:sz w:val="20"/>
        </w:rPr>
        <w:t xml:space="preserve">В настоящее время уровень межэтнической (межнациональной) и межконфессиональной напряженности в Новосибирской области можно оценить как невысокий. Жители области не считают проблему межнациональных отношений острой, еще реже они говорят о религиозных разногласиях.</w:t>
      </w:r>
    </w:p>
    <w:p>
      <w:pPr>
        <w:pStyle w:val="0"/>
        <w:spacing w:before="200" w:line-rule="auto"/>
        <w:ind w:firstLine="540"/>
        <w:jc w:val="both"/>
      </w:pPr>
      <w:r>
        <w:rPr>
          <w:sz w:val="20"/>
        </w:rPr>
        <w:t xml:space="preserve">На общероссийском фоне Новосибирская область выглядит благополучно, однако в областном центре существует некоторая напряженность, связанная в первую очередь с прибытием в город на заработки иностранных граждан из Средней Азии.</w:t>
      </w:r>
    </w:p>
    <w:p>
      <w:pPr>
        <w:pStyle w:val="0"/>
        <w:spacing w:before="200" w:line-rule="auto"/>
        <w:ind w:firstLine="540"/>
        <w:jc w:val="both"/>
      </w:pPr>
      <w:r>
        <w:rPr>
          <w:sz w:val="20"/>
        </w:rPr>
        <w:t xml:space="preserve">Общественно-политическая обстановка в Новосибирской области в сфере межэтнических (межнациональных) и межконфессиональных отношений характеризуется как стабильная, спокойная и контролируемая.</w:t>
      </w:r>
    </w:p>
    <w:p>
      <w:pPr>
        <w:pStyle w:val="0"/>
        <w:spacing w:before="200" w:line-rule="auto"/>
        <w:ind w:firstLine="540"/>
        <w:jc w:val="both"/>
      </w:pPr>
      <w:r>
        <w:rPr>
          <w:sz w:val="20"/>
        </w:rPr>
        <w:t xml:space="preserve">При формировании и реализации национальной политики в Новосибирской области особая роль предоставлена Совету при Губернаторе Новосибирской области по межнациональным отношениям, Совету по вопросам патриотического и духовно-нравственного воспитания населения в Новосибирской области при Губернаторе Новосибирской области, Комиссии Общественной палаты Новосибирской области по культуре, духовно-нравственному воспитанию и межнациональным отношениям, Консультативному совету по вопросам этнокультурного развития и межнациональных отношений при мэрии города Новосибирска, а также институтам гражданского общества - национально-культурным автономиям, национальным и религиозным организациям и их объединениям.</w:t>
      </w:r>
    </w:p>
    <w:p>
      <w:pPr>
        <w:pStyle w:val="0"/>
        <w:spacing w:before="200" w:line-rule="auto"/>
        <w:ind w:firstLine="540"/>
        <w:jc w:val="both"/>
      </w:pPr>
      <w:r>
        <w:rPr>
          <w:sz w:val="20"/>
        </w:rPr>
        <w:t xml:space="preserve">Таким образом, развитие государственно-общественного партнерства в сфере государственной национальной политики, повышение эффективности государственного и муниципального управления в сфере государственной национальной политики в Новосибирской области, обеспечение долгосрочной социально-политической стабильности и формирование ценностей общероссийской и региональной идентичности, содействие этнокультурному развитию и сохранению представителей всех народов, проживающих в Новосибирской области, создание условий для эффективной социальной и культурной адаптации и интеграции иностранных граждан и лиц без гражданства к условиям проживания в Новосибирской области будет способствовать укреплению общероссийской гражданской идентичности и единства многонационального народа Российской Федерации (российской нации) в Новосибирской области.</w:t>
      </w:r>
    </w:p>
    <w:p>
      <w:pPr>
        <w:pStyle w:val="0"/>
        <w:spacing w:before="200" w:line-rule="auto"/>
        <w:ind w:firstLine="540"/>
        <w:jc w:val="both"/>
      </w:pPr>
      <w:r>
        <w:rPr>
          <w:sz w:val="20"/>
        </w:rPr>
        <w:t xml:space="preserve">В Новосибирской области активно развивается казачье движение. Представители новосибирского казачества участвуют в обеспечении охраны общественного порядка, защите государственной границы Российской Федерации, проведении мероприятий по гражданской обороне. Оказывают содействие в обеспечении пожарной безопасности, охране объектов животного мира и обеспечении экологической безопасности. Кроме того, представители казачьих обществ проводят работу, направленную на сохранение и развитие самобытной казачьей культуры и духовно-нравственное, военно-патриотическое и физическое воспитание молодежи.</w:t>
      </w:r>
    </w:p>
    <w:p>
      <w:pPr>
        <w:pStyle w:val="0"/>
        <w:ind w:firstLine="540"/>
        <w:jc w:val="both"/>
      </w:pPr>
      <w:r>
        <w:rPr>
          <w:sz w:val="20"/>
        </w:rPr>
      </w:r>
    </w:p>
    <w:p>
      <w:pPr>
        <w:pStyle w:val="2"/>
        <w:outlineLvl w:val="2"/>
        <w:jc w:val="center"/>
      </w:pPr>
      <w:r>
        <w:rPr>
          <w:sz w:val="20"/>
        </w:rPr>
        <w:t xml:space="preserve">2. Приоритеты и цели государственной политики</w:t>
      </w:r>
    </w:p>
    <w:p>
      <w:pPr>
        <w:pStyle w:val="2"/>
        <w:jc w:val="center"/>
      </w:pPr>
      <w:r>
        <w:rPr>
          <w:sz w:val="20"/>
        </w:rPr>
        <w:t xml:space="preserve">в сфере реализации государственной программы</w:t>
      </w:r>
    </w:p>
    <w:p>
      <w:pPr>
        <w:pStyle w:val="0"/>
        <w:ind w:firstLine="540"/>
        <w:jc w:val="both"/>
      </w:pPr>
      <w:r>
        <w:rPr>
          <w:sz w:val="20"/>
        </w:rPr>
      </w:r>
    </w:p>
    <w:p>
      <w:pPr>
        <w:pStyle w:val="0"/>
        <w:ind w:firstLine="540"/>
        <w:jc w:val="both"/>
      </w:pPr>
      <w:r>
        <w:rPr>
          <w:sz w:val="20"/>
        </w:rPr>
        <w:t xml:space="preserve">Приоритеты государственной политики в сфере реализации государственной программы определены с учетом Указов Президента Российской Федерации от 19.12.2012 </w:t>
      </w:r>
      <w:hyperlink w:history="0" r:id="rId94" w:tooltip="Указ Президента РФ от 19.12.2012 N 1666 (ред. от 15.01.2024) &quot;О Стратегии государственной национальной политики Российской Федерации на период до 2025 года&quot; {КонсультантПлюс}">
        <w:r>
          <w:rPr>
            <w:sz w:val="20"/>
            <w:color w:val="0000ff"/>
          </w:rPr>
          <w:t xml:space="preserve">N 1666</w:t>
        </w:r>
      </w:hyperlink>
      <w:r>
        <w:rPr>
          <w:sz w:val="20"/>
        </w:rPr>
        <w:t xml:space="preserve"> "О Стратегии государственной национальной политики Российской Федерации на период до 2025 года", от 09.08.2020 </w:t>
      </w:r>
      <w:hyperlink w:history="0" r:id="rId95" w:tooltip="Указ Президента РФ от 09.08.2020 N 505 (ред. от 16.09.2024) &quot;Об утверждении Стратегии государственной политики Российской Федерации в отношении российского казачества на 2021 - 2030 годы&quot; {КонсультантПлюс}">
        <w:r>
          <w:rPr>
            <w:sz w:val="20"/>
            <w:color w:val="0000ff"/>
          </w:rPr>
          <w:t xml:space="preserve">N 505</w:t>
        </w:r>
      </w:hyperlink>
      <w:r>
        <w:rPr>
          <w:sz w:val="20"/>
        </w:rPr>
        <w:t xml:space="preserve"> "Об утверждении Стратегии государственной политики Российской Федерации в отношении российского казачества на 2021 - 2030 годы", от 02.07.2021 </w:t>
      </w:r>
      <w:hyperlink w:history="0" r:id="rId96" w:tooltip="Указ Президента РФ от 02.07.2021 N 400 &quot;О Стратегии национальной безопасности Российской Федерации&quot; {КонсультантПлюс}">
        <w:r>
          <w:rPr>
            <w:sz w:val="20"/>
            <w:color w:val="0000ff"/>
          </w:rPr>
          <w:t xml:space="preserve">N 400</w:t>
        </w:r>
      </w:hyperlink>
      <w:r>
        <w:rPr>
          <w:sz w:val="20"/>
        </w:rPr>
        <w:t xml:space="preserve"> "О Стратегии национальной безопасности Российской Федерации", от 09.11.2022 </w:t>
      </w:r>
      <w:hyperlink w:history="0" r:id="rId97" w:tooltip="Указ Президента РФ от 09.11.2022 N 809 &quot;Об утверждении Основ государственной политики по сохранению и укреплению традиционных российских духовно-нравственных ценностей&quot; {КонсультантПлюс}">
        <w:r>
          <w:rPr>
            <w:sz w:val="20"/>
            <w:color w:val="0000ff"/>
          </w:rPr>
          <w:t xml:space="preserve">N 809</w:t>
        </w:r>
      </w:hyperlink>
      <w:r>
        <w:rPr>
          <w:sz w:val="20"/>
        </w:rPr>
        <w:t xml:space="preserve"> "Об утверждении Основ государственной политики по сохранению и укреплению традиционных российских духовно-нравственных ценностей", </w:t>
      </w:r>
      <w:hyperlink w:history="0" r:id="rId98" w:tooltip="Постановление Правительства Новосибирской области от 19.03.2019 N 105-п (ред. от 27.12.2022) &quot;О Стратегии социально-экономического развития Новосибирской области на период до 2030 года&quot; {КонсультантПлюс}">
        <w:r>
          <w:rPr>
            <w:sz w:val="20"/>
            <w:color w:val="0000ff"/>
          </w:rPr>
          <w:t xml:space="preserve">постановления</w:t>
        </w:r>
      </w:hyperlink>
      <w:r>
        <w:rPr>
          <w:sz w:val="20"/>
        </w:rPr>
        <w:t xml:space="preserve"> Правительства Новосибирской области от 19.03.2019 N 105-п "О Стратегии социально-экономического развития Новосибирской области на период до 2030 года".</w:t>
      </w:r>
    </w:p>
    <w:p>
      <w:pPr>
        <w:pStyle w:val="0"/>
        <w:spacing w:before="200" w:line-rule="auto"/>
        <w:ind w:firstLine="540"/>
        <w:jc w:val="both"/>
      </w:pPr>
      <w:r>
        <w:rPr>
          <w:sz w:val="20"/>
        </w:rPr>
        <w:t xml:space="preserve">С учетом основных положений вышеуказанных стратегических документов приоритетами государственной программы являются:</w:t>
      </w:r>
    </w:p>
    <w:p>
      <w:pPr>
        <w:pStyle w:val="0"/>
        <w:spacing w:before="200" w:line-rule="auto"/>
        <w:ind w:firstLine="540"/>
        <w:jc w:val="both"/>
      </w:pPr>
      <w:r>
        <w:rPr>
          <w:sz w:val="20"/>
        </w:rPr>
        <w:t xml:space="preserve">защита традиционных российских духовно-нравственных ценностей, культуры и исторической памяти;</w:t>
      </w:r>
    </w:p>
    <w:p>
      <w:pPr>
        <w:pStyle w:val="0"/>
        <w:spacing w:before="200" w:line-rule="auto"/>
        <w:ind w:firstLine="540"/>
        <w:jc w:val="both"/>
      </w:pPr>
      <w:r>
        <w:rPr>
          <w:sz w:val="20"/>
        </w:rPr>
        <w:t xml:space="preserve">создание условий для привлечения активных граждан и СО НКО в процесс социально-экономического развития Новосибирской области через расширение участия негосударственных организаций в реализации приоритетных социально значимых проектов и программ;</w:t>
      </w:r>
    </w:p>
    <w:p>
      <w:pPr>
        <w:pStyle w:val="0"/>
        <w:spacing w:before="200" w:line-rule="auto"/>
        <w:ind w:firstLine="540"/>
        <w:jc w:val="both"/>
      </w:pPr>
      <w:r>
        <w:rPr>
          <w:sz w:val="20"/>
        </w:rPr>
        <w:t xml:space="preserve">совершенствование механизмов взаимодействия исполнительных органов Новосибирской области, органов местного самоуправления и населения, институтов гражданского общества и СО НКО в развитии принципов государственно-общественного партнерства; использование потенциала СО НКО в решении актуальных социально-экономических задач, создание благоприятных условий для развития СО НКО;</w:t>
      </w:r>
    </w:p>
    <w:p>
      <w:pPr>
        <w:pStyle w:val="0"/>
        <w:spacing w:before="200" w:line-rule="auto"/>
        <w:ind w:firstLine="540"/>
        <w:jc w:val="both"/>
      </w:pPr>
      <w:r>
        <w:rPr>
          <w:sz w:val="20"/>
        </w:rPr>
        <w:t xml:space="preserve">повышение правовой культуры и профессиональной грамотности представителей гражданского общества;</w:t>
      </w:r>
    </w:p>
    <w:p>
      <w:pPr>
        <w:pStyle w:val="0"/>
        <w:spacing w:before="200" w:line-rule="auto"/>
        <w:ind w:firstLine="540"/>
        <w:jc w:val="both"/>
      </w:pPr>
      <w:r>
        <w:rPr>
          <w:sz w:val="20"/>
        </w:rPr>
        <w:t xml:space="preserve">воспитание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w:t>
      </w:r>
    </w:p>
    <w:p>
      <w:pPr>
        <w:pStyle w:val="0"/>
        <w:spacing w:before="200" w:line-rule="auto"/>
        <w:ind w:firstLine="540"/>
        <w:jc w:val="both"/>
      </w:pPr>
      <w:r>
        <w:rPr>
          <w:sz w:val="20"/>
        </w:rPr>
        <w:t xml:space="preserve">укрепление российской гражданской идентичности на основе духовно-нравственных и культурных ценностей народов Российской Федерации;</w:t>
      </w:r>
    </w:p>
    <w:p>
      <w:pPr>
        <w:pStyle w:val="0"/>
        <w:spacing w:before="200" w:line-rule="auto"/>
        <w:ind w:firstLine="540"/>
        <w:jc w:val="both"/>
      </w:pPr>
      <w:r>
        <w:rPr>
          <w:sz w:val="20"/>
        </w:rPr>
        <w:t xml:space="preserve">создание условий для развития наставничества, поддержки общественных инициатив и проектов, в том числе в сфере добровольчества (волонтерства);</w:t>
      </w:r>
    </w:p>
    <w:p>
      <w:pPr>
        <w:pStyle w:val="0"/>
        <w:spacing w:before="200" w:line-rule="auto"/>
        <w:ind w:firstLine="540"/>
        <w:jc w:val="both"/>
      </w:pPr>
      <w:r>
        <w:rPr>
          <w:sz w:val="20"/>
        </w:rPr>
        <w:t xml:space="preserve">формирование высокого уровня духовно-нравственного развития, чувства причастности к историко-культурной общности российского народа и судьбе России;</w:t>
      </w:r>
    </w:p>
    <w:p>
      <w:pPr>
        <w:pStyle w:val="0"/>
        <w:spacing w:before="200" w:line-rule="auto"/>
        <w:ind w:firstLine="540"/>
        <w:jc w:val="both"/>
      </w:pPr>
      <w:r>
        <w:rPr>
          <w:sz w:val="20"/>
        </w:rPr>
        <w:t xml:space="preserve">повышение эффективности деятельности органов местного самоуправления;</w:t>
      </w:r>
    </w:p>
    <w:p>
      <w:pPr>
        <w:pStyle w:val="0"/>
        <w:spacing w:before="200" w:line-rule="auto"/>
        <w:ind w:firstLine="540"/>
        <w:jc w:val="both"/>
      </w:pPr>
      <w:r>
        <w:rPr>
          <w:sz w:val="20"/>
        </w:rPr>
        <w:t xml:space="preserve">поощрение органов местного самоуправления, готовых к активному сотрудничеству с населением и самостоятельной деятельности по реализации приоритетных задач местного и регионального развития;</w:t>
      </w:r>
    </w:p>
    <w:p>
      <w:pPr>
        <w:pStyle w:val="0"/>
        <w:spacing w:before="200" w:line-rule="auto"/>
        <w:ind w:firstLine="540"/>
        <w:jc w:val="both"/>
      </w:pPr>
      <w:r>
        <w:rPr>
          <w:sz w:val="20"/>
        </w:rPr>
        <w:t xml:space="preserve">вовлечение населения в осуществление местного самоуправления как обеспечение государственных гарантий реализации прав граждан на осуществление местного самоуправления и элемент развития социально-экономического потенциала муниципальных образований;</w:t>
      </w:r>
    </w:p>
    <w:p>
      <w:pPr>
        <w:pStyle w:val="0"/>
        <w:spacing w:before="200" w:line-rule="auto"/>
        <w:ind w:firstLine="540"/>
        <w:jc w:val="both"/>
      </w:pPr>
      <w:r>
        <w:rPr>
          <w:sz w:val="20"/>
        </w:rPr>
        <w:t xml:space="preserve">совершенствование государственного управления в сфере государственной национальной политики;</w:t>
      </w:r>
    </w:p>
    <w:p>
      <w:pPr>
        <w:pStyle w:val="0"/>
        <w:spacing w:before="200" w:line-rule="auto"/>
        <w:ind w:firstLine="540"/>
        <w:jc w:val="both"/>
      </w:pPr>
      <w:r>
        <w:rPr>
          <w:sz w:val="20"/>
        </w:rPr>
        <w:t xml:space="preserve">обеспечение межнационального мира и согласия, гармонизация межнациональных (межэтнических) отношений;</w:t>
      </w:r>
    </w:p>
    <w:p>
      <w:pPr>
        <w:pStyle w:val="0"/>
        <w:spacing w:before="200" w:line-rule="auto"/>
        <w:ind w:firstLine="540"/>
        <w:jc w:val="both"/>
      </w:pPr>
      <w:r>
        <w:rPr>
          <w:sz w:val="20"/>
        </w:rPr>
        <w:t xml:space="preserve">обеспечение равноправия граждан, реализации конституционных прав граждан в сфере государственной национальной политики;</w:t>
      </w:r>
    </w:p>
    <w:p>
      <w:pPr>
        <w:pStyle w:val="0"/>
        <w:spacing w:before="200" w:line-rule="auto"/>
        <w:ind w:firstLine="540"/>
        <w:jc w:val="both"/>
      </w:pPr>
      <w:r>
        <w:rPr>
          <w:sz w:val="20"/>
        </w:rPr>
        <w:t xml:space="preserve">создание условий для социальной и культурной адаптации и интеграции иностранных граждан;</w:t>
      </w:r>
    </w:p>
    <w:p>
      <w:pPr>
        <w:pStyle w:val="0"/>
        <w:spacing w:before="200" w:line-rule="auto"/>
        <w:ind w:firstLine="540"/>
        <w:jc w:val="both"/>
      </w:pPr>
      <w:r>
        <w:rPr>
          <w:sz w:val="20"/>
        </w:rPr>
        <w:t xml:space="preserve">укрепление единства и духовной общности многонационального народа (российской нации);</w:t>
      </w:r>
    </w:p>
    <w:p>
      <w:pPr>
        <w:pStyle w:val="0"/>
        <w:spacing w:before="200" w:line-rule="auto"/>
        <w:ind w:firstLine="540"/>
        <w:jc w:val="both"/>
      </w:pPr>
      <w:r>
        <w:rPr>
          <w:sz w:val="20"/>
        </w:rPr>
        <w:t xml:space="preserve">сохранение и развитие этнокультурного многообразия народов, проживающих в Новосибирской области;</w:t>
      </w:r>
    </w:p>
    <w:p>
      <w:pPr>
        <w:pStyle w:val="0"/>
        <w:spacing w:before="200" w:line-rule="auto"/>
        <w:ind w:firstLine="540"/>
        <w:jc w:val="both"/>
      </w:pPr>
      <w:r>
        <w:rPr>
          <w:sz w:val="20"/>
        </w:rPr>
        <w:t xml:space="preserve">информационное обеспечение реализации государственной национальной политики;</w:t>
      </w:r>
    </w:p>
    <w:p>
      <w:pPr>
        <w:pStyle w:val="0"/>
        <w:spacing w:before="200" w:line-rule="auto"/>
        <w:ind w:firstLine="540"/>
        <w:jc w:val="both"/>
      </w:pPr>
      <w:r>
        <w:rPr>
          <w:sz w:val="20"/>
        </w:rPr>
        <w:t xml:space="preserve">совершенствование взаимодействия государственных и муниципальных органов с институтами гражданского общества;</w:t>
      </w:r>
    </w:p>
    <w:p>
      <w:pPr>
        <w:pStyle w:val="0"/>
        <w:spacing w:before="200" w:line-rule="auto"/>
        <w:ind w:firstLine="540"/>
        <w:jc w:val="both"/>
      </w:pPr>
      <w:r>
        <w:rPr>
          <w:sz w:val="20"/>
        </w:rPr>
        <w:t xml:space="preserve">привлечение российского казачества к участию в мероприятиях, направленных на укрепление гражданского единства, гармонизацию межнациональных (межэтнических) отношений, профилактику экстремизма и предупреждение конфликтов на национальной и религиозной почве.</w:t>
      </w:r>
    </w:p>
    <w:p>
      <w:pPr>
        <w:pStyle w:val="0"/>
        <w:spacing w:before="200" w:line-rule="auto"/>
        <w:ind w:firstLine="540"/>
        <w:jc w:val="both"/>
      </w:pPr>
      <w:r>
        <w:rPr>
          <w:sz w:val="20"/>
        </w:rPr>
        <w:t xml:space="preserve">С учетом положений стратегических документов определены следующие цели государственной программы:</w:t>
      </w:r>
    </w:p>
    <w:p>
      <w:pPr>
        <w:pStyle w:val="0"/>
        <w:spacing w:before="200" w:line-rule="auto"/>
        <w:ind w:firstLine="540"/>
        <w:jc w:val="both"/>
      </w:pPr>
      <w:r>
        <w:rPr>
          <w:sz w:val="20"/>
        </w:rPr>
        <w:t xml:space="preserve">вовлечение граждан, институтов гражданского общества и местного самоуправления в процесс социально-экономического развития Новосибирской области до 1,93% к 2030 году;</w:t>
      </w:r>
    </w:p>
    <w:p>
      <w:pPr>
        <w:pStyle w:val="0"/>
        <w:spacing w:before="200" w:line-rule="auto"/>
        <w:ind w:firstLine="540"/>
        <w:jc w:val="both"/>
      </w:pPr>
      <w:r>
        <w:rPr>
          <w:sz w:val="20"/>
        </w:rPr>
        <w:t xml:space="preserve">вовлечение граждан Новосибирской области в систему патриотического воспитания - не менее 31% к 2030 году;</w:t>
      </w:r>
    </w:p>
    <w:p>
      <w:pPr>
        <w:pStyle w:val="0"/>
        <w:spacing w:before="200" w:line-rule="auto"/>
        <w:ind w:firstLine="540"/>
        <w:jc w:val="both"/>
      </w:pPr>
      <w:r>
        <w:rPr>
          <w:sz w:val="20"/>
        </w:rPr>
        <w:t xml:space="preserve">укрепление общероссийской гражданской идентичности и единства многонационального народа Российской Федерации (российской нации) в Новосибирской области и сохранение уровня общероссийской гражданской идентичности на уровне не менее 74% до 2030 года.</w:t>
      </w:r>
    </w:p>
    <w:p>
      <w:pPr>
        <w:pStyle w:val="0"/>
        <w:ind w:firstLine="540"/>
        <w:jc w:val="both"/>
      </w:pPr>
      <w:r>
        <w:rPr>
          <w:sz w:val="20"/>
        </w:rPr>
      </w:r>
    </w:p>
    <w:p>
      <w:pPr>
        <w:pStyle w:val="2"/>
        <w:outlineLvl w:val="2"/>
        <w:jc w:val="center"/>
      </w:pPr>
      <w:r>
        <w:rPr>
          <w:sz w:val="20"/>
        </w:rPr>
        <w:t xml:space="preserve">3. Сведения о взаимосвязи со стратегическими</w:t>
      </w:r>
    </w:p>
    <w:p>
      <w:pPr>
        <w:pStyle w:val="2"/>
        <w:jc w:val="center"/>
      </w:pPr>
      <w:r>
        <w:rPr>
          <w:sz w:val="20"/>
        </w:rPr>
        <w:t xml:space="preserve">приоритетами, целями и показателями</w:t>
      </w:r>
    </w:p>
    <w:p>
      <w:pPr>
        <w:pStyle w:val="2"/>
        <w:jc w:val="center"/>
      </w:pPr>
      <w:r>
        <w:rPr>
          <w:sz w:val="20"/>
        </w:rPr>
        <w:t xml:space="preserve">государственных программ Российской Федерации</w:t>
      </w:r>
    </w:p>
    <w:p>
      <w:pPr>
        <w:pStyle w:val="0"/>
        <w:ind w:firstLine="540"/>
        <w:jc w:val="both"/>
      </w:pPr>
      <w:r>
        <w:rPr>
          <w:sz w:val="20"/>
        </w:rPr>
      </w:r>
    </w:p>
    <w:p>
      <w:pPr>
        <w:pStyle w:val="0"/>
        <w:ind w:firstLine="540"/>
        <w:jc w:val="both"/>
      </w:pPr>
      <w:r>
        <w:rPr>
          <w:sz w:val="20"/>
        </w:rPr>
        <w:t xml:space="preserve">Государственная программа в сфере реализации национальной политики и развития казачества на территории Новосибирской области связана с государственной </w:t>
      </w:r>
      <w:hyperlink w:history="0" r:id="rId99" w:tooltip="Постановление Правительства РФ от 29.12.2016 N 1532 (ред. от 13.12.2024) &quot;Об утверждении государственной программы Российской Федерации &quot;Реализация государственной национальной политики&quot; {КонсультантПлюс}">
        <w:r>
          <w:rPr>
            <w:sz w:val="20"/>
            <w:color w:val="0000ff"/>
          </w:rPr>
          <w:t xml:space="preserve">программой</w:t>
        </w:r>
      </w:hyperlink>
      <w:r>
        <w:rPr>
          <w:sz w:val="20"/>
        </w:rPr>
        <w:t xml:space="preserve"> Российской Федерации "Реализация государственной национальной политики", утвержденной постановлением Правительства Российской Федерации от 29.12.2016 N 1532, в том числе со следующими ее:</w:t>
      </w:r>
    </w:p>
    <w:p>
      <w:pPr>
        <w:pStyle w:val="0"/>
        <w:spacing w:before="200" w:line-rule="auto"/>
        <w:ind w:firstLine="540"/>
        <w:jc w:val="both"/>
      </w:pPr>
      <w:r>
        <w:rPr>
          <w:sz w:val="20"/>
        </w:rPr>
        <w:t xml:space="preserve">1) приоритетами:</w:t>
      </w:r>
    </w:p>
    <w:p>
      <w:pPr>
        <w:pStyle w:val="0"/>
        <w:spacing w:before="200" w:line-rule="auto"/>
        <w:ind w:firstLine="540"/>
        <w:jc w:val="both"/>
      </w:pPr>
      <w:r>
        <w:rPr>
          <w:sz w:val="20"/>
        </w:rPr>
        <w:t xml:space="preserve">укрепление гражданского единства, гражданского самосознания и сохранение самобытности многонационального народа Российской Федерации (российской нации);</w:t>
      </w:r>
    </w:p>
    <w:p>
      <w:pPr>
        <w:pStyle w:val="0"/>
        <w:spacing w:before="200" w:line-rule="auto"/>
        <w:ind w:firstLine="540"/>
        <w:jc w:val="both"/>
      </w:pPr>
      <w:r>
        <w:rPr>
          <w:sz w:val="20"/>
        </w:rPr>
        <w:t xml:space="preserve">сохранение этнокультурного и языкового многообразия Российской Федерации;</w:t>
      </w:r>
    </w:p>
    <w:p>
      <w:pPr>
        <w:pStyle w:val="0"/>
        <w:spacing w:before="200" w:line-rule="auto"/>
        <w:ind w:firstLine="540"/>
        <w:jc w:val="both"/>
      </w:pPr>
      <w:r>
        <w:rPr>
          <w:sz w:val="20"/>
        </w:rPr>
        <w:t xml:space="preserve">сохранение русского языка как государственного языка Российской Федерации и языка межнационального общения;</w:t>
      </w:r>
    </w:p>
    <w:p>
      <w:pPr>
        <w:pStyle w:val="0"/>
        <w:spacing w:before="200" w:line-rule="auto"/>
        <w:ind w:firstLine="540"/>
        <w:jc w:val="both"/>
      </w:pPr>
      <w:r>
        <w:rPr>
          <w:sz w:val="20"/>
        </w:rPr>
        <w:t xml:space="preserve">гармонизация межнациональных (межэтнических) отношений, профилактика экстремизма и предупреждение конфликтов на национальной и религиозной почве;</w:t>
      </w:r>
    </w:p>
    <w:p>
      <w:pPr>
        <w:pStyle w:val="0"/>
        <w:spacing w:before="200" w:line-rule="auto"/>
        <w:ind w:firstLine="540"/>
        <w:jc w:val="both"/>
      </w:pPr>
      <w:r>
        <w:rPr>
          <w:sz w:val="20"/>
        </w:rPr>
        <w:t xml:space="preserve">привлечение российского казачества к участию в мероприятиях, направленных на укрепление гражданского единства, гармонизацию межнациональных (межэтнических) отношений, профилактику экстремизма и предупреждение конфликтов на национальной и религиозной почве;</w:t>
      </w:r>
    </w:p>
    <w:p>
      <w:pPr>
        <w:pStyle w:val="0"/>
        <w:spacing w:before="200" w:line-rule="auto"/>
        <w:ind w:firstLine="540"/>
        <w:jc w:val="both"/>
      </w:pPr>
      <w:r>
        <w:rPr>
          <w:sz w:val="20"/>
        </w:rPr>
        <w:t xml:space="preserve">2) целями:</w:t>
      </w:r>
    </w:p>
    <w:p>
      <w:pPr>
        <w:pStyle w:val="0"/>
        <w:spacing w:before="200" w:line-rule="auto"/>
        <w:ind w:firstLine="540"/>
        <w:jc w:val="both"/>
      </w:pPr>
      <w:r>
        <w:rPr>
          <w:sz w:val="20"/>
        </w:rPr>
        <w:t xml:space="preserve">гармонизация национальных и межнациональных (межэтнических) отношений, сохранение и поддержка этнокультурного и языкового многообразия Российской Федерации, традиционных российских духовно-нравственных ценностей как основы российского общества и доведение уровня доли граждан, положительно оценивающих состояние межнациональных отношений;</w:t>
      </w:r>
    </w:p>
    <w:p>
      <w:pPr>
        <w:pStyle w:val="0"/>
        <w:spacing w:before="200" w:line-rule="auto"/>
        <w:ind w:firstLine="540"/>
        <w:jc w:val="both"/>
      </w:pPr>
      <w:r>
        <w:rPr>
          <w:sz w:val="20"/>
        </w:rPr>
        <w:t xml:space="preserve">обеспечение успешной социальной и культурной адаптации иностранных граждан в Российской Федерации и их интеграции в российское общество и увеличение доли граждан, не испытывающих негативного отношения к иностранным гражданам;</w:t>
      </w:r>
    </w:p>
    <w:p>
      <w:pPr>
        <w:pStyle w:val="0"/>
        <w:spacing w:before="200" w:line-rule="auto"/>
        <w:ind w:firstLine="540"/>
        <w:jc w:val="both"/>
      </w:pPr>
      <w:r>
        <w:rPr>
          <w:sz w:val="20"/>
        </w:rPr>
        <w:t xml:space="preserve">укрепление общероссийской гражданской идентичности и единства многонационального народа Российской Федерации (российской нации) и доведение уровня общероссийской гражданской идентичности;</w:t>
      </w:r>
    </w:p>
    <w:p>
      <w:pPr>
        <w:pStyle w:val="0"/>
        <w:spacing w:before="200" w:line-rule="auto"/>
        <w:ind w:firstLine="540"/>
        <w:jc w:val="both"/>
      </w:pPr>
      <w:r>
        <w:rPr>
          <w:sz w:val="20"/>
        </w:rPr>
        <w:t xml:space="preserve">3) показателями:</w:t>
      </w:r>
    </w:p>
    <w:p>
      <w:pPr>
        <w:pStyle w:val="0"/>
        <w:spacing w:before="200" w:line-rule="auto"/>
        <w:ind w:firstLine="540"/>
        <w:jc w:val="both"/>
      </w:pPr>
      <w:r>
        <w:rPr>
          <w:sz w:val="20"/>
        </w:rPr>
        <w:t xml:space="preserve">количество участников мероприятий, направленных на укрепление общероссийского гражданского единства;</w:t>
      </w:r>
    </w:p>
    <w:p>
      <w:pPr>
        <w:pStyle w:val="0"/>
        <w:spacing w:before="200" w:line-rule="auto"/>
        <w:ind w:firstLine="540"/>
        <w:jc w:val="both"/>
      </w:pPr>
      <w:r>
        <w:rPr>
          <w:sz w:val="20"/>
        </w:rPr>
        <w:t xml:space="preserve">численность участников мероприятий, направленных на этнокультурное развитие народов России, проживающих на территории Новосибирской области.</w:t>
      </w:r>
    </w:p>
    <w:p>
      <w:pPr>
        <w:pStyle w:val="0"/>
        <w:spacing w:before="200" w:line-rule="auto"/>
        <w:ind w:firstLine="540"/>
        <w:jc w:val="both"/>
      </w:pPr>
      <w:r>
        <w:rPr>
          <w:sz w:val="20"/>
        </w:rPr>
        <w:t xml:space="preserve">Взаимосвязи государственной программы в сфере содействия развитию институтов гражданского общества, местного самоуправления, патриотического воспитания со стратегическими приоритетами, целями и показателями государственных программ Российской Федерации не имеется.</w:t>
      </w:r>
    </w:p>
    <w:p>
      <w:pPr>
        <w:pStyle w:val="0"/>
        <w:ind w:firstLine="540"/>
        <w:jc w:val="both"/>
      </w:pPr>
      <w:r>
        <w:rPr>
          <w:sz w:val="20"/>
        </w:rPr>
      </w:r>
    </w:p>
    <w:p>
      <w:pPr>
        <w:pStyle w:val="2"/>
        <w:outlineLvl w:val="2"/>
        <w:jc w:val="center"/>
      </w:pPr>
      <w:r>
        <w:rPr>
          <w:sz w:val="20"/>
        </w:rPr>
        <w:t xml:space="preserve">4. Задачи (направления) государственной</w:t>
      </w:r>
    </w:p>
    <w:p>
      <w:pPr>
        <w:pStyle w:val="2"/>
        <w:jc w:val="center"/>
      </w:pPr>
      <w:r>
        <w:rPr>
          <w:sz w:val="20"/>
        </w:rPr>
        <w:t xml:space="preserve">программы, способы их эффективного решения</w:t>
      </w:r>
    </w:p>
    <w:p>
      <w:pPr>
        <w:pStyle w:val="0"/>
        <w:ind w:firstLine="540"/>
        <w:jc w:val="both"/>
      </w:pPr>
      <w:r>
        <w:rPr>
          <w:sz w:val="20"/>
        </w:rPr>
      </w:r>
    </w:p>
    <w:p>
      <w:pPr>
        <w:pStyle w:val="0"/>
        <w:ind w:firstLine="540"/>
        <w:jc w:val="both"/>
      </w:pPr>
      <w:r>
        <w:rPr>
          <w:sz w:val="20"/>
        </w:rPr>
        <w:t xml:space="preserve">Задачами (направлениями) государственной программы являются:</w:t>
      </w:r>
    </w:p>
    <w:p>
      <w:pPr>
        <w:pStyle w:val="0"/>
        <w:spacing w:before="200" w:line-rule="auto"/>
        <w:ind w:firstLine="540"/>
        <w:jc w:val="both"/>
      </w:pPr>
      <w:r>
        <w:rPr>
          <w:sz w:val="20"/>
        </w:rPr>
        <w:t xml:space="preserve">создание условий для реализации региональной политики;</w:t>
      </w:r>
    </w:p>
    <w:p>
      <w:pPr>
        <w:pStyle w:val="0"/>
        <w:spacing w:before="200" w:line-rule="auto"/>
        <w:ind w:firstLine="540"/>
        <w:jc w:val="both"/>
      </w:pPr>
      <w:r>
        <w:rPr>
          <w:sz w:val="20"/>
        </w:rPr>
        <w:t xml:space="preserve">расширение участия институтов гражданского общества в решении проблем социально-экономического развития Новосибирской области;</w:t>
      </w:r>
    </w:p>
    <w:p>
      <w:pPr>
        <w:pStyle w:val="0"/>
        <w:spacing w:before="200" w:line-rule="auto"/>
        <w:ind w:firstLine="540"/>
        <w:jc w:val="both"/>
      </w:pPr>
      <w:r>
        <w:rPr>
          <w:sz w:val="20"/>
        </w:rPr>
        <w:t xml:space="preserve">содействие в развитии институтов местного самоуправления, стимулирование активного участия населения в решении вопросов местного значения;</w:t>
      </w:r>
    </w:p>
    <w:p>
      <w:pPr>
        <w:pStyle w:val="0"/>
        <w:spacing w:before="200" w:line-rule="auto"/>
        <w:ind w:firstLine="540"/>
        <w:jc w:val="both"/>
      </w:pPr>
      <w:r>
        <w:rPr>
          <w:sz w:val="20"/>
        </w:rPr>
        <w:t xml:space="preserve">развитие и повышение эффективности системы патриотического воспитания граждан Российской Федерации в Новосибирской области;</w:t>
      </w:r>
    </w:p>
    <w:p>
      <w:pPr>
        <w:pStyle w:val="0"/>
        <w:spacing w:before="200" w:line-rule="auto"/>
        <w:ind w:firstLine="540"/>
        <w:jc w:val="both"/>
      </w:pPr>
      <w:r>
        <w:rPr>
          <w:sz w:val="20"/>
        </w:rPr>
        <w:t xml:space="preserve">создание условий для укрепления общероссийской гражданской идентичности и единства многонационального народа, проживающего на территории Новосибирской области, развития духовно-нравственных основ и самобытной культуры российского казачества.</w:t>
      </w:r>
    </w:p>
    <w:p>
      <w:pPr>
        <w:pStyle w:val="0"/>
        <w:spacing w:before="200" w:line-rule="auto"/>
        <w:ind w:firstLine="540"/>
        <w:jc w:val="both"/>
      </w:pPr>
      <w:r>
        <w:rPr>
          <w:sz w:val="20"/>
        </w:rPr>
        <w:t xml:space="preserve">Решение задачи по созданию условий для реализации региональной политики будет осуществляться путем обеспечения реализации функций, возложенных на министерство региональной политики Новосибирской области и государственное казенное учреждение Новосибирской области "Центр гражданского, патриотического воспитания и общественных проектов".</w:t>
      </w:r>
    </w:p>
    <w:p>
      <w:pPr>
        <w:pStyle w:val="0"/>
        <w:spacing w:before="200" w:line-rule="auto"/>
        <w:ind w:firstLine="540"/>
        <w:jc w:val="both"/>
      </w:pPr>
      <w:r>
        <w:rPr>
          <w:sz w:val="20"/>
        </w:rPr>
        <w:t xml:space="preserve">Решение задачи по расширению участия институтов гражданского общества в решении проблем социально-экономического развития Новосибирской области будет осуществляться путем:</w:t>
      </w:r>
    </w:p>
    <w:p>
      <w:pPr>
        <w:pStyle w:val="0"/>
        <w:spacing w:before="200" w:line-rule="auto"/>
        <w:ind w:firstLine="540"/>
        <w:jc w:val="both"/>
      </w:pPr>
      <w:r>
        <w:rPr>
          <w:sz w:val="20"/>
        </w:rPr>
        <w:t xml:space="preserve">обеспечения консультационной и образовательной поддержки представителей социально ориентированных некоммерческих организаций;</w:t>
      </w:r>
    </w:p>
    <w:p>
      <w:pPr>
        <w:pStyle w:val="0"/>
        <w:spacing w:before="200" w:line-rule="auto"/>
        <w:ind w:firstLine="540"/>
        <w:jc w:val="both"/>
      </w:pPr>
      <w:r>
        <w:rPr>
          <w:sz w:val="20"/>
        </w:rPr>
        <w:t xml:space="preserve">совершенствования механизмов привлечения к реализации социально значимых проектов институтов гражданского общества.</w:t>
      </w:r>
    </w:p>
    <w:p>
      <w:pPr>
        <w:pStyle w:val="0"/>
        <w:spacing w:before="200" w:line-rule="auto"/>
        <w:ind w:firstLine="540"/>
        <w:jc w:val="both"/>
      </w:pPr>
      <w:r>
        <w:rPr>
          <w:sz w:val="20"/>
        </w:rPr>
        <w:t xml:space="preserve">Решение задачи по содействию в развитии институтов местного самоуправления, стимулированию активного участия населения в решении вопросов местного значения будет осуществляться путем:</w:t>
      </w:r>
    </w:p>
    <w:p>
      <w:pPr>
        <w:pStyle w:val="0"/>
        <w:spacing w:before="200" w:line-rule="auto"/>
        <w:ind w:firstLine="540"/>
        <w:jc w:val="both"/>
      </w:pPr>
      <w:r>
        <w:rPr>
          <w:sz w:val="20"/>
        </w:rPr>
        <w:t xml:space="preserve">создания организационных и правовых условий для совершенствования механизмов местного самоуправления;</w:t>
      </w:r>
    </w:p>
    <w:p>
      <w:pPr>
        <w:pStyle w:val="0"/>
        <w:spacing w:before="200" w:line-rule="auto"/>
        <w:ind w:firstLine="540"/>
        <w:jc w:val="both"/>
      </w:pPr>
      <w:r>
        <w:rPr>
          <w:sz w:val="20"/>
        </w:rPr>
        <w:t xml:space="preserve">обеспечения совершенствования механизмов участия населения в развитии территорий Новосибирской области;</w:t>
      </w:r>
    </w:p>
    <w:p>
      <w:pPr>
        <w:pStyle w:val="0"/>
        <w:spacing w:before="200" w:line-rule="auto"/>
        <w:ind w:firstLine="540"/>
        <w:jc w:val="both"/>
      </w:pPr>
      <w:r>
        <w:rPr>
          <w:sz w:val="20"/>
        </w:rPr>
        <w:t xml:space="preserve">содействия развитию межмуниципального взаимодействия, распространению лучшего опыта муниципального управления.</w:t>
      </w:r>
    </w:p>
    <w:p>
      <w:pPr>
        <w:pStyle w:val="0"/>
        <w:spacing w:before="200" w:line-rule="auto"/>
        <w:ind w:firstLine="540"/>
        <w:jc w:val="both"/>
      </w:pPr>
      <w:r>
        <w:rPr>
          <w:sz w:val="20"/>
        </w:rPr>
        <w:t xml:space="preserve">Решение задачи по развитию и повышению эффективности системы патриотического воспитания граждан Российской Федерации в Новосибирской области будет осуществляться путем:</w:t>
      </w:r>
    </w:p>
    <w:p>
      <w:pPr>
        <w:pStyle w:val="0"/>
        <w:spacing w:before="200" w:line-rule="auto"/>
        <w:ind w:firstLine="540"/>
        <w:jc w:val="both"/>
      </w:pPr>
      <w:r>
        <w:rPr>
          <w:sz w:val="20"/>
        </w:rPr>
        <w:t xml:space="preserve">обеспечения функционирования системы патриотического воспитания граждан Российской Федерации;</w:t>
      </w:r>
    </w:p>
    <w:p>
      <w:pPr>
        <w:pStyle w:val="0"/>
        <w:spacing w:before="200" w:line-rule="auto"/>
        <w:ind w:firstLine="540"/>
        <w:jc w:val="both"/>
      </w:pPr>
      <w:r>
        <w:rPr>
          <w:sz w:val="20"/>
        </w:rPr>
        <w:t xml:space="preserve">внедрения современных форм, методов и технологий, методического сопровождения системы патриотического воспитания;</w:t>
      </w:r>
    </w:p>
    <w:p>
      <w:pPr>
        <w:pStyle w:val="0"/>
        <w:spacing w:before="200" w:line-rule="auto"/>
        <w:ind w:firstLine="540"/>
        <w:jc w:val="both"/>
      </w:pPr>
      <w:r>
        <w:rPr>
          <w:sz w:val="20"/>
        </w:rPr>
        <w:t xml:space="preserve">развития военно-патриотического воспитания граждан, укрепления престижа службы в Вооруженных Силах Российской Федерации;</w:t>
      </w:r>
    </w:p>
    <w:p>
      <w:pPr>
        <w:pStyle w:val="0"/>
        <w:spacing w:before="200" w:line-rule="auto"/>
        <w:ind w:firstLine="540"/>
        <w:jc w:val="both"/>
      </w:pPr>
      <w:r>
        <w:rPr>
          <w:sz w:val="20"/>
        </w:rPr>
        <w:t xml:space="preserve">развития волонтерского движения как важного элемента системы патриотического воспитания;</w:t>
      </w:r>
    </w:p>
    <w:p>
      <w:pPr>
        <w:pStyle w:val="0"/>
        <w:spacing w:before="200" w:line-rule="auto"/>
        <w:ind w:firstLine="540"/>
        <w:jc w:val="both"/>
      </w:pPr>
      <w:r>
        <w:rPr>
          <w:sz w:val="20"/>
        </w:rPr>
        <w:t xml:space="preserve">информационного обеспечения патриотического воспитания граждан Российской Федерации.</w:t>
      </w:r>
    </w:p>
    <w:p>
      <w:pPr>
        <w:pStyle w:val="0"/>
        <w:spacing w:before="200" w:line-rule="auto"/>
        <w:ind w:firstLine="540"/>
        <w:jc w:val="both"/>
      </w:pPr>
      <w:r>
        <w:rPr>
          <w:sz w:val="20"/>
        </w:rPr>
        <w:t xml:space="preserve">Решение задачи по созданию условий для укрепления общероссийской гражданской идентичности и единства многонационального народа, проживающего на территории Новосибирской области, развитию духовно-нравственных основ и самобытной культуры российского казачества будет осуществляться путем:</w:t>
      </w:r>
    </w:p>
    <w:p>
      <w:pPr>
        <w:pStyle w:val="0"/>
        <w:spacing w:before="200" w:line-rule="auto"/>
        <w:ind w:firstLine="540"/>
        <w:jc w:val="both"/>
      </w:pPr>
      <w:r>
        <w:rPr>
          <w:sz w:val="20"/>
        </w:rPr>
        <w:t xml:space="preserve">развития государственно-общественного партнерства в сфере государственной национальной политики на территории Новосибирской области;</w:t>
      </w:r>
    </w:p>
    <w:p>
      <w:pPr>
        <w:pStyle w:val="0"/>
        <w:spacing w:before="200" w:line-rule="auto"/>
        <w:ind w:firstLine="540"/>
        <w:jc w:val="both"/>
      </w:pPr>
      <w:r>
        <w:rPr>
          <w:sz w:val="20"/>
        </w:rPr>
        <w:t xml:space="preserve">сохранения и поддержка традиционных российских духовно-нравственных ценностей как основы российского общества;</w:t>
      </w:r>
    </w:p>
    <w:p>
      <w:pPr>
        <w:pStyle w:val="0"/>
        <w:spacing w:before="200" w:line-rule="auto"/>
        <w:ind w:firstLine="540"/>
        <w:jc w:val="both"/>
      </w:pPr>
      <w:r>
        <w:rPr>
          <w:sz w:val="20"/>
        </w:rPr>
        <w:t xml:space="preserve">профилактики экстремизма на национальной и религиозной почве;</w:t>
      </w:r>
    </w:p>
    <w:p>
      <w:pPr>
        <w:pStyle w:val="0"/>
        <w:spacing w:before="200" w:line-rule="auto"/>
        <w:ind w:firstLine="540"/>
        <w:jc w:val="both"/>
      </w:pPr>
      <w:r>
        <w:rPr>
          <w:sz w:val="20"/>
        </w:rPr>
        <w:t xml:space="preserve">содействия этнокультурному многообразию народов, проживающих на территории Новосибирской области;</w:t>
      </w:r>
    </w:p>
    <w:p>
      <w:pPr>
        <w:pStyle w:val="0"/>
        <w:spacing w:before="200" w:line-rule="auto"/>
        <w:ind w:firstLine="540"/>
        <w:jc w:val="both"/>
      </w:pPr>
      <w:r>
        <w:rPr>
          <w:sz w:val="20"/>
        </w:rPr>
        <w:t xml:space="preserve">социально-культурной адаптации и интеграции иностранных граждан в Новосибирской области;</w:t>
      </w:r>
    </w:p>
    <w:p>
      <w:pPr>
        <w:pStyle w:val="0"/>
        <w:spacing w:before="200" w:line-rule="auto"/>
        <w:ind w:firstLine="540"/>
        <w:jc w:val="both"/>
      </w:pPr>
      <w:r>
        <w:rPr>
          <w:sz w:val="20"/>
        </w:rPr>
        <w:t xml:space="preserve">сохранения и развития самобытной казачьей культуры, организация работы с казачьей молодежью.</w:t>
      </w:r>
    </w:p>
    <w:p>
      <w:pPr>
        <w:pStyle w:val="0"/>
        <w:ind w:firstLine="540"/>
        <w:jc w:val="both"/>
      </w:pPr>
      <w:r>
        <w:rPr>
          <w:sz w:val="20"/>
        </w:rPr>
      </w:r>
    </w:p>
    <w:p>
      <w:pPr>
        <w:pStyle w:val="2"/>
        <w:outlineLvl w:val="1"/>
        <w:jc w:val="center"/>
      </w:pPr>
      <w:r>
        <w:rPr>
          <w:sz w:val="20"/>
        </w:rPr>
        <w:t xml:space="preserve">II. Обоснование необходимости реализации</w:t>
      </w:r>
    </w:p>
    <w:p>
      <w:pPr>
        <w:pStyle w:val="2"/>
        <w:jc w:val="center"/>
      </w:pPr>
      <w:r>
        <w:rPr>
          <w:sz w:val="20"/>
        </w:rPr>
        <w:t xml:space="preserve">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0"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2"/>
        <w:outlineLvl w:val="1"/>
        <w:jc w:val="center"/>
      </w:pPr>
      <w:r>
        <w:rPr>
          <w:sz w:val="20"/>
        </w:rPr>
        <w:t xml:space="preserve">III. Цели и задачи, важнейшие целевые</w:t>
      </w:r>
    </w:p>
    <w:p>
      <w:pPr>
        <w:pStyle w:val="2"/>
        <w:jc w:val="center"/>
      </w:pPr>
      <w:r>
        <w:rPr>
          <w:sz w:val="20"/>
        </w:rPr>
        <w:t xml:space="preserve">индикаторы 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1"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28.03.2023 N 120-п.</w:t>
      </w:r>
    </w:p>
    <w:p>
      <w:pPr>
        <w:pStyle w:val="0"/>
        <w:ind w:firstLine="540"/>
        <w:jc w:val="both"/>
      </w:pPr>
      <w:r>
        <w:rPr>
          <w:sz w:val="20"/>
        </w:rPr>
      </w:r>
    </w:p>
    <w:p>
      <w:pPr>
        <w:pStyle w:val="2"/>
        <w:outlineLvl w:val="1"/>
        <w:jc w:val="center"/>
      </w:pPr>
      <w:r>
        <w:rPr>
          <w:sz w:val="20"/>
        </w:rPr>
        <w:t xml:space="preserve">IV. Система основных мероприятий 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2"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2"/>
        <w:outlineLvl w:val="1"/>
        <w:jc w:val="center"/>
      </w:pPr>
      <w:r>
        <w:rPr>
          <w:sz w:val="20"/>
        </w:rPr>
        <w:t xml:space="preserve">V. Механизм реализации и система управления</w:t>
      </w:r>
    </w:p>
    <w:p>
      <w:pPr>
        <w:pStyle w:val="2"/>
        <w:jc w:val="center"/>
      </w:pPr>
      <w:r>
        <w:rPr>
          <w:sz w:val="20"/>
        </w:rPr>
        <w:t xml:space="preserve">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3"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28.03.2023 N 120-п.</w:t>
      </w:r>
    </w:p>
    <w:p>
      <w:pPr>
        <w:pStyle w:val="0"/>
        <w:ind w:firstLine="540"/>
        <w:jc w:val="both"/>
      </w:pPr>
      <w:r>
        <w:rPr>
          <w:sz w:val="20"/>
        </w:rPr>
      </w:r>
    </w:p>
    <w:p>
      <w:pPr>
        <w:pStyle w:val="2"/>
        <w:outlineLvl w:val="1"/>
        <w:jc w:val="center"/>
      </w:pPr>
      <w:r>
        <w:rPr>
          <w:sz w:val="20"/>
        </w:rPr>
        <w:t xml:space="preserve">VI. Ресурсное обеспечение 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4"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28.03.2023 N 120-п.</w:t>
      </w:r>
    </w:p>
    <w:p>
      <w:pPr>
        <w:pStyle w:val="0"/>
        <w:ind w:firstLine="540"/>
        <w:jc w:val="both"/>
      </w:pPr>
      <w:r>
        <w:rPr>
          <w:sz w:val="20"/>
        </w:rPr>
      </w:r>
    </w:p>
    <w:p>
      <w:pPr>
        <w:pStyle w:val="2"/>
        <w:outlineLvl w:val="1"/>
        <w:jc w:val="center"/>
      </w:pPr>
      <w:r>
        <w:rPr>
          <w:sz w:val="20"/>
        </w:rPr>
        <w:t xml:space="preserve">VII. Ожидаемые результаты реализации</w:t>
      </w:r>
    </w:p>
    <w:p>
      <w:pPr>
        <w:pStyle w:val="2"/>
        <w:jc w:val="center"/>
      </w:pPr>
      <w:r>
        <w:rPr>
          <w:sz w:val="20"/>
        </w:rPr>
        <w:t xml:space="preserve">государственной программы</w:t>
      </w:r>
    </w:p>
    <w:p>
      <w:pPr>
        <w:pStyle w:val="0"/>
        <w:ind w:firstLine="540"/>
        <w:jc w:val="both"/>
      </w:pPr>
      <w:r>
        <w:rPr>
          <w:sz w:val="20"/>
        </w:rPr>
      </w:r>
    </w:p>
    <w:p>
      <w:pPr>
        <w:pStyle w:val="0"/>
        <w:ind w:firstLine="540"/>
        <w:jc w:val="both"/>
      </w:pPr>
      <w:r>
        <w:rPr>
          <w:sz w:val="20"/>
        </w:rPr>
        <w:t xml:space="preserve">Утратил силу. - </w:t>
      </w:r>
      <w:hyperlink w:history="0" r:id="rId105"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28.03.2023 N 120-п.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1</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ЦЕЛИ, ЗАДАЧИ И ЦЕЛЕВЫЕ ИНДИКАТОРЫ</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0"/>
        <w:ind w:firstLine="540"/>
        <w:jc w:val="both"/>
      </w:pPr>
      <w:r>
        <w:rPr>
          <w:sz w:val="20"/>
        </w:rPr>
      </w:r>
    </w:p>
    <w:p>
      <w:pPr>
        <w:pStyle w:val="0"/>
        <w:ind w:firstLine="540"/>
        <w:jc w:val="both"/>
      </w:pPr>
      <w:r>
        <w:rPr>
          <w:sz w:val="20"/>
        </w:rPr>
        <w:t xml:space="preserve">Утратило силу с 1 июня 2024 года. - </w:t>
      </w:r>
      <w:hyperlink w:history="0" r:id="rId106"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2</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ОСНОВНЫЕ МЕРОПРИЯТИЯ</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0"/>
        <w:ind w:firstLine="540"/>
        <w:jc w:val="both"/>
      </w:pPr>
      <w:r>
        <w:rPr>
          <w:sz w:val="20"/>
        </w:rPr>
      </w:r>
    </w:p>
    <w:p>
      <w:pPr>
        <w:pStyle w:val="0"/>
        <w:ind w:firstLine="540"/>
        <w:jc w:val="both"/>
      </w:pPr>
      <w:r>
        <w:rPr>
          <w:sz w:val="20"/>
        </w:rPr>
        <w:t xml:space="preserve">Утратило силу с 1 июня 2024 года. - </w:t>
      </w:r>
      <w:hyperlink w:history="0" r:id="rId107"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3</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СВОДНЫЕ ФИНАНСОВЫЕ ЗАТРАТЫ И НАЛОГОВЫЕ РАСХОДЫ</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0"/>
        <w:ind w:firstLine="540"/>
        <w:jc w:val="both"/>
      </w:pPr>
      <w:r>
        <w:rPr>
          <w:sz w:val="20"/>
        </w:rPr>
      </w:r>
    </w:p>
    <w:p>
      <w:pPr>
        <w:pStyle w:val="0"/>
        <w:ind w:firstLine="540"/>
        <w:jc w:val="both"/>
      </w:pPr>
      <w:r>
        <w:rPr>
          <w:sz w:val="20"/>
        </w:rPr>
        <w:t xml:space="preserve">Утратило силу с 1 июня 2024 года. - </w:t>
      </w:r>
      <w:hyperlink w:history="0" r:id="rId108"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4</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ПОДПРОГРАММА</w:t>
      </w:r>
    </w:p>
    <w:p>
      <w:pPr>
        <w:pStyle w:val="2"/>
        <w:jc w:val="center"/>
      </w:pPr>
      <w:r>
        <w:rPr>
          <w:sz w:val="20"/>
        </w:rPr>
        <w:t xml:space="preserve">"Государственная поддержка общественных инициатив, социально</w:t>
      </w:r>
    </w:p>
    <w:p>
      <w:pPr>
        <w:pStyle w:val="2"/>
        <w:jc w:val="center"/>
      </w:pPr>
      <w:r>
        <w:rPr>
          <w:sz w:val="20"/>
        </w:rPr>
        <w:t xml:space="preserve">ориентированных некоммерческих организаций и развития</w:t>
      </w:r>
    </w:p>
    <w:p>
      <w:pPr>
        <w:pStyle w:val="2"/>
        <w:jc w:val="center"/>
      </w:pPr>
      <w:r>
        <w:rPr>
          <w:sz w:val="20"/>
        </w:rPr>
        <w:t xml:space="preserve">институтов гражданского общества в Новосибирской области"</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2"/>
        <w:jc w:val="center"/>
      </w:pPr>
      <w:r>
        <w:rPr>
          <w:sz w:val="20"/>
        </w:rPr>
        <w:t xml:space="preserve">(далее - подпрограмма)</w:t>
      </w:r>
    </w:p>
    <w:p>
      <w:pPr>
        <w:pStyle w:val="0"/>
        <w:ind w:firstLine="540"/>
        <w:jc w:val="both"/>
      </w:pPr>
      <w:r>
        <w:rPr>
          <w:sz w:val="20"/>
        </w:rPr>
      </w:r>
    </w:p>
    <w:p>
      <w:pPr>
        <w:pStyle w:val="0"/>
        <w:ind w:firstLine="540"/>
        <w:jc w:val="both"/>
      </w:pPr>
      <w:r>
        <w:rPr>
          <w:sz w:val="20"/>
        </w:rPr>
        <w:t xml:space="preserve">Утратила силу. - </w:t>
      </w:r>
      <w:hyperlink w:history="0" r:id="rId109"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5</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ПОДПРОГРАММА</w:t>
      </w:r>
    </w:p>
    <w:p>
      <w:pPr>
        <w:pStyle w:val="2"/>
        <w:jc w:val="center"/>
      </w:pPr>
      <w:r>
        <w:rPr>
          <w:sz w:val="20"/>
        </w:rPr>
        <w:t xml:space="preserve">"Содействие развитию местного самоуправления"</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2"/>
        <w:jc w:val="center"/>
      </w:pPr>
      <w:r>
        <w:rPr>
          <w:sz w:val="20"/>
        </w:rPr>
        <w:t xml:space="preserve">(далее - подпрограмма)</w:t>
      </w:r>
    </w:p>
    <w:p>
      <w:pPr>
        <w:pStyle w:val="0"/>
        <w:ind w:firstLine="540"/>
        <w:jc w:val="both"/>
      </w:pPr>
      <w:r>
        <w:rPr>
          <w:sz w:val="20"/>
        </w:rPr>
      </w:r>
    </w:p>
    <w:p>
      <w:pPr>
        <w:pStyle w:val="0"/>
        <w:ind w:firstLine="540"/>
        <w:jc w:val="both"/>
      </w:pPr>
      <w:r>
        <w:rPr>
          <w:sz w:val="20"/>
        </w:rPr>
        <w:t xml:space="preserve">Утратила силу. - </w:t>
      </w:r>
      <w:hyperlink w:history="0" r:id="rId110"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6</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ПОДПРОГРАММА</w:t>
      </w:r>
    </w:p>
    <w:p>
      <w:pPr>
        <w:pStyle w:val="2"/>
        <w:jc w:val="center"/>
      </w:pPr>
      <w:r>
        <w:rPr>
          <w:sz w:val="20"/>
        </w:rPr>
        <w:t xml:space="preserve">"Патриотическое воспитание граждан Российской Федерации</w:t>
      </w:r>
    </w:p>
    <w:p>
      <w:pPr>
        <w:pStyle w:val="2"/>
        <w:jc w:val="center"/>
      </w:pPr>
      <w:r>
        <w:rPr>
          <w:sz w:val="20"/>
        </w:rPr>
        <w:t xml:space="preserve">в Новосибирской области" государственной программы</w:t>
      </w:r>
    </w:p>
    <w:p>
      <w:pPr>
        <w:pStyle w:val="2"/>
        <w:jc w:val="center"/>
      </w:pPr>
      <w:r>
        <w:rPr>
          <w:sz w:val="20"/>
        </w:rPr>
        <w:t xml:space="preserve">Новосибирской области "Развитие институтов региональной</w:t>
      </w:r>
    </w:p>
    <w:p>
      <w:pPr>
        <w:pStyle w:val="2"/>
        <w:jc w:val="center"/>
      </w:pPr>
      <w:r>
        <w:rPr>
          <w:sz w:val="20"/>
        </w:rPr>
        <w:t xml:space="preserve">политики и гражданского общества в Новосибирской области"</w:t>
      </w:r>
    </w:p>
    <w:p>
      <w:pPr>
        <w:pStyle w:val="2"/>
        <w:jc w:val="center"/>
      </w:pPr>
      <w:r>
        <w:rPr>
          <w:sz w:val="20"/>
        </w:rPr>
        <w:t xml:space="preserve">(далее - подпрограмма)</w:t>
      </w:r>
    </w:p>
    <w:p>
      <w:pPr>
        <w:pStyle w:val="0"/>
        <w:ind w:firstLine="540"/>
        <w:jc w:val="both"/>
      </w:pPr>
      <w:r>
        <w:rPr>
          <w:sz w:val="20"/>
        </w:rPr>
      </w:r>
    </w:p>
    <w:p>
      <w:pPr>
        <w:pStyle w:val="0"/>
        <w:ind w:firstLine="540"/>
        <w:jc w:val="both"/>
      </w:pPr>
      <w:r>
        <w:rPr>
          <w:sz w:val="20"/>
        </w:rPr>
        <w:t xml:space="preserve">Утратила силу. - </w:t>
      </w:r>
      <w:hyperlink w:history="0" r:id="rId111"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7</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p>
      <w:pPr>
        <w:pStyle w:val="2"/>
        <w:jc w:val="center"/>
      </w:pPr>
      <w:r>
        <w:rPr>
          <w:sz w:val="20"/>
        </w:rPr>
        <w:t xml:space="preserve">ПОДПРОГРАММА</w:t>
      </w:r>
    </w:p>
    <w:p>
      <w:pPr>
        <w:pStyle w:val="2"/>
        <w:jc w:val="center"/>
      </w:pPr>
      <w:r>
        <w:rPr>
          <w:sz w:val="20"/>
        </w:rPr>
        <w:t xml:space="preserve">"Реализация государственной национальной политики</w:t>
      </w:r>
    </w:p>
    <w:p>
      <w:pPr>
        <w:pStyle w:val="2"/>
        <w:jc w:val="center"/>
      </w:pPr>
      <w:r>
        <w:rPr>
          <w:sz w:val="20"/>
        </w:rPr>
        <w:t xml:space="preserve">на территории Новосибирской области" государственной</w:t>
      </w:r>
    </w:p>
    <w:p>
      <w:pPr>
        <w:pStyle w:val="2"/>
        <w:jc w:val="center"/>
      </w:pPr>
      <w:r>
        <w:rPr>
          <w:sz w:val="20"/>
        </w:rPr>
        <w:t xml:space="preserve">программы Новосибирской области "Развитие институтов</w:t>
      </w:r>
    </w:p>
    <w:p>
      <w:pPr>
        <w:pStyle w:val="2"/>
        <w:jc w:val="center"/>
      </w:pPr>
      <w:r>
        <w:rPr>
          <w:sz w:val="20"/>
        </w:rPr>
        <w:t xml:space="preserve">региональной политики и гражданского</w:t>
      </w:r>
    </w:p>
    <w:p>
      <w:pPr>
        <w:pStyle w:val="2"/>
        <w:jc w:val="center"/>
      </w:pPr>
      <w:r>
        <w:rPr>
          <w:sz w:val="20"/>
        </w:rPr>
        <w:t xml:space="preserve">общества в Новосибирской области"</w:t>
      </w:r>
    </w:p>
    <w:p>
      <w:pPr>
        <w:pStyle w:val="2"/>
        <w:jc w:val="center"/>
      </w:pPr>
      <w:r>
        <w:rPr>
          <w:sz w:val="20"/>
        </w:rPr>
        <w:t xml:space="preserve">(далее - подпрограмма)</w:t>
      </w:r>
    </w:p>
    <w:p>
      <w:pPr>
        <w:pStyle w:val="0"/>
        <w:ind w:firstLine="540"/>
        <w:jc w:val="both"/>
      </w:pPr>
      <w:r>
        <w:rPr>
          <w:sz w:val="20"/>
        </w:rPr>
      </w:r>
    </w:p>
    <w:p>
      <w:pPr>
        <w:pStyle w:val="0"/>
        <w:ind w:firstLine="540"/>
        <w:jc w:val="both"/>
      </w:pPr>
      <w:r>
        <w:rPr>
          <w:sz w:val="20"/>
        </w:rPr>
        <w:t xml:space="preserve">Утратила силу. - </w:t>
      </w:r>
      <w:hyperlink w:history="0" r:id="rId112" w:tooltip="Постановление Правительства Новосибирской области от 19.03.2024 N 95-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19.03.2024 N 95-п.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8</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bookmarkStart w:id="411" w:name="P411"/>
    <w:bookmarkEnd w:id="411"/>
    <w:p>
      <w:pPr>
        <w:pStyle w:val="2"/>
        <w:jc w:val="center"/>
      </w:pPr>
      <w:r>
        <w:rPr>
          <w:sz w:val="20"/>
        </w:rPr>
        <w:t xml:space="preserve">ПОРЯДОК</w:t>
      </w:r>
    </w:p>
    <w:p>
      <w:pPr>
        <w:pStyle w:val="2"/>
        <w:jc w:val="center"/>
      </w:pPr>
      <w:r>
        <w:rPr>
          <w:sz w:val="20"/>
        </w:rPr>
        <w:t xml:space="preserve">предоставления и распределения субсидий из областного</w:t>
      </w:r>
    </w:p>
    <w:p>
      <w:pPr>
        <w:pStyle w:val="2"/>
        <w:jc w:val="center"/>
      </w:pPr>
      <w:r>
        <w:rPr>
          <w:sz w:val="20"/>
        </w:rPr>
        <w:t xml:space="preserve">бюджета Новосибирской области бюджетам муниципальных</w:t>
      </w:r>
    </w:p>
    <w:p>
      <w:pPr>
        <w:pStyle w:val="2"/>
        <w:jc w:val="center"/>
      </w:pPr>
      <w:r>
        <w:rPr>
          <w:sz w:val="20"/>
        </w:rPr>
        <w:t xml:space="preserve">районов, муниципальных и городских округов Новосибирской</w:t>
      </w:r>
    </w:p>
    <w:p>
      <w:pPr>
        <w:pStyle w:val="2"/>
        <w:jc w:val="center"/>
      </w:pPr>
      <w:r>
        <w:rPr>
          <w:sz w:val="20"/>
        </w:rPr>
        <w:t xml:space="preserve">области на софинансирование мероприятий муниципальных</w:t>
      </w:r>
    </w:p>
    <w:p>
      <w:pPr>
        <w:pStyle w:val="2"/>
        <w:jc w:val="center"/>
      </w:pPr>
      <w:r>
        <w:rPr>
          <w:sz w:val="20"/>
        </w:rPr>
        <w:t xml:space="preserve">программ развития территориального общественного</w:t>
      </w:r>
    </w:p>
    <w:p>
      <w:pPr>
        <w:pStyle w:val="2"/>
        <w:jc w:val="center"/>
      </w:pPr>
      <w:r>
        <w:rPr>
          <w:sz w:val="20"/>
        </w:rPr>
        <w:t xml:space="preserve">самоуправления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04.08.2020 </w:t>
            </w:r>
            <w:hyperlink w:history="0" r:id="rId113"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N 320-п</w:t>
              </w:r>
            </w:hyperlink>
            <w:r>
              <w:rPr>
                <w:sz w:val="20"/>
                <w:color w:val="392c69"/>
              </w:rPr>
              <w:t xml:space="preserve">, от 23.03.2021 </w:t>
            </w:r>
            <w:hyperlink w:history="0" r:id="rId114"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color w:val="392c69"/>
              </w:rPr>
              <w:t xml:space="preserve">, от 01.06.2021 </w:t>
            </w:r>
            <w:hyperlink w:history="0" r:id="rId115"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N 194-п</w:t>
              </w:r>
            </w:hyperlink>
            <w:r>
              <w:rPr>
                <w:sz w:val="20"/>
                <w:color w:val="392c69"/>
              </w:rPr>
              <w:t xml:space="preserve">,</w:t>
            </w:r>
          </w:p>
          <w:p>
            <w:pPr>
              <w:pStyle w:val="0"/>
              <w:jc w:val="center"/>
            </w:pPr>
            <w:r>
              <w:rPr>
                <w:sz w:val="20"/>
                <w:color w:val="392c69"/>
              </w:rPr>
              <w:t xml:space="preserve">от 17.11.2021 </w:t>
            </w:r>
            <w:hyperlink w:history="0" r:id="rId116"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N 464-п</w:t>
              </w:r>
            </w:hyperlink>
            <w:r>
              <w:rPr>
                <w:sz w:val="20"/>
                <w:color w:val="392c69"/>
              </w:rPr>
              <w:t xml:space="preserve">, от 01.11.2022 </w:t>
            </w:r>
            <w:hyperlink w:history="0" r:id="rId117" w:tooltip="Постановление Правительства Новосибирской области от 01.11.2022 N 507-п &quot;О внесении изменений в постановление Правительства Новосибирской области от 26.12.2018 N 570-п&quot; {КонсультантПлюс}">
              <w:r>
                <w:rPr>
                  <w:sz w:val="20"/>
                  <w:color w:val="0000ff"/>
                </w:rPr>
                <w:t xml:space="preserve">N 507-п</w:t>
              </w:r>
            </w:hyperlink>
            <w:r>
              <w:rPr>
                <w:sz w:val="20"/>
                <w:color w:val="392c69"/>
              </w:rPr>
              <w:t xml:space="preserve">, от 14.02.2023 </w:t>
            </w:r>
            <w:hyperlink w:history="0" r:id="rId118"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N 30-п</w:t>
              </w:r>
            </w:hyperlink>
            <w:r>
              <w:rPr>
                <w:sz w:val="20"/>
                <w:color w:val="392c69"/>
              </w:rPr>
              <w:t xml:space="preserve">,</w:t>
            </w:r>
          </w:p>
          <w:p>
            <w:pPr>
              <w:pStyle w:val="0"/>
              <w:jc w:val="center"/>
            </w:pPr>
            <w:r>
              <w:rPr>
                <w:sz w:val="20"/>
                <w:color w:val="392c69"/>
              </w:rPr>
              <w:t xml:space="preserve">от 28.03.2023 </w:t>
            </w:r>
            <w:hyperlink w:history="0" r:id="rId119"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N 120-п</w:t>
              </w:r>
            </w:hyperlink>
            <w:r>
              <w:rPr>
                <w:sz w:val="20"/>
                <w:color w:val="392c69"/>
              </w:rPr>
              <w:t xml:space="preserve">, от 28.11.2023 </w:t>
            </w:r>
            <w:hyperlink w:history="0" r:id="rId120"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color w:val="392c69"/>
              </w:rPr>
              <w:t xml:space="preserve">, от 17.12.2024 </w:t>
            </w:r>
            <w:hyperlink w:history="0" r:id="rId12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Настоящий Порядок определяет цели и условия предоставления и распределения субсидий из областного бюджета Новосибирской области бюджетам муниципальных районов, муниципальных и городских округов Новосибирской области на софинансирование мероприятий муниципальных программ развития территориального общественного самоуправления в Новосибирской области (далее - ТОС) в рамках мероприятий по содействию развития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2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2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2. Настоящий Порядок разработан в соответствии с </w:t>
      </w:r>
      <w:hyperlink w:history="0" r:id="rId124"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3 статьи 139</w:t>
        </w:r>
      </w:hyperlink>
      <w:r>
        <w:rPr>
          <w:sz w:val="20"/>
        </w:rPr>
        <w:t xml:space="preserve"> Бюджетного кодекса Российской Федерации, </w:t>
      </w:r>
      <w:hyperlink w:history="0" r:id="rId125" w:tooltip="Постановление Правительства Новосибирской области от 03.03.2020 N 40-п (ред. от 24.12.2024) &quot;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quot; (с изм. и доп., вступающими в силу с 01.01.2025) {КонсультантПлюс}">
        <w:r>
          <w:rPr>
            <w:sz w:val="20"/>
            <w:color w:val="0000ff"/>
          </w:rPr>
          <w:t xml:space="preserve">Правилами</w:t>
        </w:r>
      </w:hyperlink>
      <w:r>
        <w:rPr>
          <w:sz w:val="20"/>
        </w:rP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установленными постановлением Правительства Новосибирской области от 03.03.2020 N 40-п (далее - Правила).</w:t>
      </w:r>
    </w:p>
    <w:p>
      <w:pPr>
        <w:pStyle w:val="0"/>
        <w:spacing w:before="200" w:line-rule="auto"/>
        <w:ind w:firstLine="540"/>
        <w:jc w:val="both"/>
      </w:pPr>
      <w:r>
        <w:rPr>
          <w:sz w:val="20"/>
        </w:rPr>
        <w:t xml:space="preserve">3. Субсидии предоставляются в целях софинансирования расходных обязательств муниципальных районов, муниципальных и городских округов Новосибирской области, возникающих при реализации муниципальных программ развития ТОС в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26"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2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Субсидии предоставляются в соответствии с законом Новосибирской области об областном бюджете Новосибирской области в пределах бюджетных ассигнований и лимитов бюджетных обязательств, установленных главному распорядителю бюджетных средств - министерству региональной политики Новосибирской области (далее соответственно - областной бюджет, министерство).</w:t>
      </w:r>
    </w:p>
    <w:p>
      <w:pPr>
        <w:pStyle w:val="0"/>
        <w:spacing w:before="200" w:line-rule="auto"/>
        <w:ind w:firstLine="540"/>
        <w:jc w:val="both"/>
      </w:pPr>
      <w:r>
        <w:rPr>
          <w:sz w:val="20"/>
        </w:rPr>
        <w:t xml:space="preserve">4. Субсидии предоставляются бюджетам муниципальных районов, муниципальных и городских округов Новосибирской области при выполнении следующих условий:</w:t>
      </w:r>
    </w:p>
    <w:p>
      <w:pPr>
        <w:pStyle w:val="0"/>
        <w:jc w:val="both"/>
      </w:pPr>
      <w:r>
        <w:rPr>
          <w:sz w:val="20"/>
        </w:rPr>
        <w:t xml:space="preserve">(в ред. постановлений Правительства Новосибирской области от 28.11.2023 </w:t>
      </w:r>
      <w:hyperlink w:history="0" r:id="rId128"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2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1) наличие ТОС, созданных на территории муниципальных районов, муниципальных или городских округов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30"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3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2) представление администрациями муниципальных районов, муниципальных и городских округов Новосибирской области действующей редакции муниципальных программ развития ТОС;</w:t>
      </w:r>
    </w:p>
    <w:p>
      <w:pPr>
        <w:pStyle w:val="0"/>
        <w:jc w:val="both"/>
      </w:pPr>
      <w:r>
        <w:rPr>
          <w:sz w:val="20"/>
        </w:rPr>
        <w:t xml:space="preserve">(в ред. постановлений Правительства Новосибирской области от 28.11.2023 </w:t>
      </w:r>
      <w:hyperlink w:history="0" r:id="rId13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3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3) наличие неиспользованных остатков субсидий, представленных ранее на реализацию муниципальных программ развития ТОС, в объеме, не превышающем 5% от общего объема субсидий, запланированных к предоставлению в соответствующем финансовом году, или их отсутствие;</w:t>
      </w:r>
    </w:p>
    <w:p>
      <w:pPr>
        <w:pStyle w:val="0"/>
        <w:jc w:val="both"/>
      </w:pPr>
      <w:r>
        <w:rPr>
          <w:sz w:val="20"/>
        </w:rPr>
        <w:t xml:space="preserve">(пп. 3 в ред. </w:t>
      </w:r>
      <w:hyperlink w:history="0" r:id="rId134"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17.11.2021 N 464-п)</w:t>
      </w:r>
    </w:p>
    <w:p>
      <w:pPr>
        <w:pStyle w:val="0"/>
        <w:spacing w:before="200" w:line-rule="auto"/>
        <w:ind w:firstLine="540"/>
        <w:jc w:val="both"/>
      </w:pPr>
      <w:r>
        <w:rPr>
          <w:sz w:val="20"/>
        </w:rPr>
        <w:t xml:space="preserve">4) наличие правовых актов муниципальных районов, муниципальных и городских округов Новосибирской области,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w:t>
      </w:r>
    </w:p>
    <w:p>
      <w:pPr>
        <w:pStyle w:val="0"/>
        <w:jc w:val="both"/>
      </w:pPr>
      <w:r>
        <w:rPr>
          <w:sz w:val="20"/>
        </w:rPr>
        <w:t xml:space="preserve">(в ред. постановлений Правительства Новосибирской области от 28.11.2023 </w:t>
      </w:r>
      <w:hyperlink w:history="0" r:id="rId135"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3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5) утратил силу. - </w:t>
      </w:r>
      <w:hyperlink w:history="0" r:id="rId137"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14.02.2023 N 30-п;</w:t>
      </w:r>
    </w:p>
    <w:p>
      <w:pPr>
        <w:pStyle w:val="0"/>
        <w:spacing w:before="200" w:line-rule="auto"/>
        <w:ind w:firstLine="540"/>
        <w:jc w:val="both"/>
      </w:pPr>
      <w:r>
        <w:rPr>
          <w:sz w:val="20"/>
        </w:rPr>
        <w:t xml:space="preserve">6) заключение на срок, соответствующий сроку распределения субсидий между местными бюджетами муниципальных районов, муниципальных и городских округов Новосибирской области, соглашений между министерством и администрациями муниципальных районов, муниципальных и городских округов Новосибирской области о предоставлении субсидий, предусматривающих обязательство муниципального района, муниципального или городского округа Новосибирской области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типовой формой соглашения, утверждаемой министерством финансов и налоговой политики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38"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3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7)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w:history="0" r:id="rId140" w:tooltip="Постановление Правительства Новосибирской области от 30.12.2013 N 597-п (ред. от 27.12.2024) &quot;О наделении полномочиями государственного казенного учреждения Новосибирской области &quot;Управление контрактной системы&quot; (с изм. и доп., вступающими в силу с 01.01.2025) {КонсультантПлюс}">
        <w:r>
          <w:rPr>
            <w:sz w:val="20"/>
            <w:color w:val="0000ff"/>
          </w:rPr>
          <w:t xml:space="preserve">пунктом 1</w:t>
        </w:r>
      </w:hyperlink>
      <w:r>
        <w:rPr>
          <w:sz w:val="20"/>
        </w:rPr>
        <w:t xml:space="preserve"> и </w:t>
      </w:r>
      <w:hyperlink w:history="0" r:id="rId141" w:tooltip="Постановление Правительства Новосибирской области от 30.12.2013 N 597-п (ред. от 27.12.2024) &quot;О наделении полномочиями государственного казенного учреждения Новосибирской области &quot;Управление контрактной системы&quot; (с изм. и доп., вступающими в силу с 01.01.2025) {КонсультантПлюс}">
        <w:r>
          <w:rPr>
            <w:sz w:val="20"/>
            <w:color w:val="0000ff"/>
          </w:rPr>
          <w:t xml:space="preserve">подпунктом 2 пункта 4</w:t>
        </w:r>
      </w:hyperlink>
      <w:r>
        <w:rPr>
          <w:sz w:val="20"/>
        </w:rP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pPr>
        <w:pStyle w:val="0"/>
        <w:jc w:val="both"/>
      </w:pPr>
      <w:r>
        <w:rPr>
          <w:sz w:val="20"/>
        </w:rPr>
        <w:t xml:space="preserve">(пп. 7 введен </w:t>
      </w:r>
      <w:hyperlink w:history="0" r:id="rId142"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w:t>
      </w:r>
    </w:p>
    <w:p>
      <w:pPr>
        <w:pStyle w:val="0"/>
        <w:spacing w:before="200" w:line-rule="auto"/>
        <w:ind w:firstLine="540"/>
        <w:jc w:val="both"/>
      </w:pPr>
      <w:r>
        <w:rPr>
          <w:sz w:val="20"/>
        </w:rPr>
        <w:t xml:space="preserve">8)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муниципальным районом, муниципальным или городским округом (за исключением случаев, установленных местной администрацией муниципального района, муниципального или городского округа;</w:t>
      </w:r>
    </w:p>
    <w:p>
      <w:pPr>
        <w:pStyle w:val="0"/>
        <w:jc w:val="both"/>
      </w:pPr>
      <w:r>
        <w:rPr>
          <w:sz w:val="20"/>
        </w:rPr>
        <w:t xml:space="preserve">(пп. 8 введен </w:t>
      </w:r>
      <w:hyperlink w:history="0" r:id="rId143"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 в ред. постановлений Правительства Новосибирской области от 28.11.2023 </w:t>
      </w:r>
      <w:hyperlink w:history="0" r:id="rId144"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4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9) сокращение объема субсидии, в случае, если объем бюджетных ассигнований на исполнение расходных обязательств муниципального района, муниципального или городского округа,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района, муниципального или городского округа за счет средств местного бюджета.</w:t>
      </w:r>
    </w:p>
    <w:p>
      <w:pPr>
        <w:pStyle w:val="0"/>
        <w:jc w:val="both"/>
      </w:pPr>
      <w:r>
        <w:rPr>
          <w:sz w:val="20"/>
        </w:rPr>
        <w:t xml:space="preserve">(пп. 9 введен </w:t>
      </w:r>
      <w:hyperlink w:history="0" r:id="rId146"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 в ред. постановлений Правительства Новосибирской области от 28.11.2023 </w:t>
      </w:r>
      <w:hyperlink w:history="0" r:id="rId147"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4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5. Для отбора муниципальных районов, муниципальных и городских округов Новосибирской области для предоставления субсидий устанавливаются следующие критерии:</w:t>
      </w:r>
    </w:p>
    <w:p>
      <w:pPr>
        <w:pStyle w:val="0"/>
        <w:jc w:val="both"/>
      </w:pPr>
      <w:r>
        <w:rPr>
          <w:sz w:val="20"/>
        </w:rPr>
        <w:t xml:space="preserve">(в ред. постановлений Правительства Новосибирской области от 28.11.2023 </w:t>
      </w:r>
      <w:hyperlink w:history="0" r:id="rId149"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5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1) наличие на территории муниципального района (поселений, входящих в состав муниципального района), муниципального или городского округа Новосибирской области зарегистрированных органами местного самоуправления ТОС;</w:t>
      </w:r>
    </w:p>
    <w:p>
      <w:pPr>
        <w:pStyle w:val="0"/>
        <w:jc w:val="both"/>
      </w:pPr>
      <w:r>
        <w:rPr>
          <w:sz w:val="20"/>
        </w:rPr>
        <w:t xml:space="preserve">(в ред. постановлений Правительства Новосибирской области от 28.11.2023 </w:t>
      </w:r>
      <w:hyperlink w:history="0" r:id="rId15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52"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2) утвержденная нормативным правовым актом муниципального района, муниципального или городского округа Новосибирской области муниципальная программа развития ТОС.</w:t>
      </w:r>
    </w:p>
    <w:p>
      <w:pPr>
        <w:pStyle w:val="0"/>
        <w:jc w:val="both"/>
      </w:pPr>
      <w:r>
        <w:rPr>
          <w:sz w:val="20"/>
        </w:rPr>
        <w:t xml:space="preserve">(в ред. постановлений Правительства Новосибирской области от 28.11.2023 </w:t>
      </w:r>
      <w:hyperlink w:history="0" r:id="rId153"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54"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5.1. В целях проведения отбора муниципальных районов, муниципальных и городских округов Новосибирской области для предоставления субсидий министерство:</w:t>
      </w:r>
    </w:p>
    <w:p>
      <w:pPr>
        <w:pStyle w:val="0"/>
        <w:jc w:val="both"/>
      </w:pPr>
      <w:r>
        <w:rPr>
          <w:sz w:val="20"/>
        </w:rPr>
        <w:t xml:space="preserve">(в ред. </w:t>
      </w:r>
      <w:hyperlink w:history="0" r:id="rId15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 издает приказ об объявлении отбора,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дату начала подачи и окончания приема заявок на предоставление субсидии из областного бюджета Новосибирской области бюджету муниципального района, муниципального и городского округа Новосибирской области на софинансирование мероприятий муниципальной программы развития ТОС (далее - заявка);</w:t>
      </w:r>
    </w:p>
    <w:p>
      <w:pPr>
        <w:pStyle w:val="0"/>
        <w:jc w:val="both"/>
      </w:pPr>
      <w:r>
        <w:rPr>
          <w:sz w:val="20"/>
        </w:rPr>
        <w:t xml:space="preserve">(в ред. </w:t>
      </w:r>
      <w:hyperlink w:history="0" r:id="rId15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место подачи заявок;</w:t>
      </w:r>
    </w:p>
    <w:p>
      <w:pPr>
        <w:pStyle w:val="0"/>
        <w:spacing w:before="200" w:line-rule="auto"/>
        <w:ind w:firstLine="540"/>
        <w:jc w:val="both"/>
      </w:pPr>
      <w:r>
        <w:rPr>
          <w:sz w:val="20"/>
        </w:rPr>
        <w:t xml:space="preserve">срок реализации мероприятий муниципальной программы развития ТОС, на софинансирование которых предоставляется субсидия;</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форму заявки;</w:t>
      </w:r>
    </w:p>
    <w:p>
      <w:pPr>
        <w:pStyle w:val="0"/>
        <w:spacing w:before="200" w:line-rule="auto"/>
        <w:ind w:firstLine="540"/>
        <w:jc w:val="both"/>
      </w:pPr>
      <w:r>
        <w:rPr>
          <w:sz w:val="20"/>
        </w:rPr>
        <w:t xml:space="preserve">состав комиссии по рассмотрению заявок на предоставление субсидии из областного бюджета бюджетам муниципальных районов, муниципальных и городских округов Новосибирской области на софинансирование мероприятий муниципальных программ развития ТОС (далее - комиссия);</w:t>
      </w:r>
    </w:p>
    <w:p>
      <w:pPr>
        <w:pStyle w:val="0"/>
        <w:jc w:val="both"/>
      </w:pPr>
      <w:r>
        <w:rPr>
          <w:sz w:val="20"/>
        </w:rPr>
        <w:t xml:space="preserve">(в ред. </w:t>
      </w:r>
      <w:hyperlink w:history="0" r:id="rId15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в) устанавливает предельный размер субсидий;</w:t>
      </w:r>
    </w:p>
    <w:p>
      <w:pPr>
        <w:pStyle w:val="0"/>
        <w:spacing w:before="200" w:line-rule="auto"/>
        <w:ind w:firstLine="540"/>
        <w:jc w:val="both"/>
      </w:pPr>
      <w:r>
        <w:rPr>
          <w:sz w:val="20"/>
        </w:rPr>
        <w:t xml:space="preserve">2) организует:</w:t>
      </w:r>
    </w:p>
    <w:p>
      <w:pPr>
        <w:pStyle w:val="0"/>
        <w:spacing w:before="200" w:line-rule="auto"/>
        <w:ind w:firstLine="540"/>
        <w:jc w:val="both"/>
      </w:pPr>
      <w:r>
        <w:rPr>
          <w:sz w:val="20"/>
        </w:rPr>
        <w:t xml:space="preserve">а) консультирование по вопросам предоставления и распределения субсидии;</w:t>
      </w:r>
    </w:p>
    <w:p>
      <w:pPr>
        <w:pStyle w:val="0"/>
        <w:spacing w:before="200" w:line-rule="auto"/>
        <w:ind w:firstLine="540"/>
        <w:jc w:val="both"/>
      </w:pPr>
      <w:r>
        <w:rPr>
          <w:sz w:val="20"/>
        </w:rPr>
        <w:t xml:space="preserve">б) прием, регистрацию, хранение и передачу на рассмотрение комиссии заявок на предоставление субсидии.</w:t>
      </w:r>
    </w:p>
    <w:p>
      <w:pPr>
        <w:pStyle w:val="0"/>
        <w:jc w:val="both"/>
      </w:pPr>
      <w:r>
        <w:rPr>
          <w:sz w:val="20"/>
        </w:rPr>
        <w:t xml:space="preserve">(п. 5.1 введен </w:t>
      </w:r>
      <w:hyperlink w:history="0" r:id="rId158"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6. Определение размера субсидий осуществляется комиссией в соответствии с заявками, поступившими в адрес министерства от муниципальных районов, муниципальных и городских округов Новосибирской области. В случае если запрашиваемый суммарный объем субсидии, указанный в поступивших заявках от муниципальных образований Новосибирской области на реализацию муниципальных программ развития ТОС в текущем году, превышает предельный объем бюджетных ассигнований и лимитов бюджетных обязательств, установленных на софинансирование мероприятий муниципальных программ развития ТОС, приоритет отдается муниципальным образованиям Новосибирской области с наибольшим количеством созданных ТОС, а затем - с наибольшим приростом ТОС за предыдущий год.</w:t>
      </w:r>
    </w:p>
    <w:p>
      <w:pPr>
        <w:pStyle w:val="0"/>
        <w:jc w:val="both"/>
      </w:pPr>
      <w:r>
        <w:rPr>
          <w:sz w:val="20"/>
        </w:rPr>
        <w:t xml:space="preserve">(в ред. постановлений Правительства Новосибирской области от 14.02.2023 </w:t>
      </w:r>
      <w:hyperlink w:history="0" r:id="rId159"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N 30-п</w:t>
        </w:r>
      </w:hyperlink>
      <w:r>
        <w:rPr>
          <w:sz w:val="20"/>
        </w:rPr>
        <w:t xml:space="preserve">, от 28.11.2023 </w:t>
      </w:r>
      <w:hyperlink w:history="0" r:id="rId160"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6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Расчет размера субсидии из областного бюджета, предоставляемой i-му муниципальному району, муниципальному или городскому округу Новосибирской области на реализацию i-ой муниципальной программы развития территориального общественного самоуправления, осуществляется по формуле:</w:t>
      </w:r>
    </w:p>
    <w:p>
      <w:pPr>
        <w:pStyle w:val="0"/>
        <w:jc w:val="both"/>
      </w:pPr>
      <w:r>
        <w:rPr>
          <w:sz w:val="20"/>
        </w:rPr>
        <w:t xml:space="preserve">(в ред. постановлений Правительства Новосибирской области от 28.11.2023 </w:t>
      </w:r>
      <w:hyperlink w:history="0" r:id="rId16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6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ind w:firstLine="540"/>
        <w:jc w:val="both"/>
      </w:pPr>
      <w:r>
        <w:rPr>
          <w:sz w:val="20"/>
        </w:rPr>
      </w:r>
    </w:p>
    <w:p>
      <w:pPr>
        <w:pStyle w:val="0"/>
        <w:jc w:val="center"/>
      </w:pPr>
      <w:r>
        <w:rPr>
          <w:position w:val="-20"/>
        </w:rPr>
        <w:drawing>
          <wp:inline distT="0" distB="0" distL="0" distR="0">
            <wp:extent cx="1828800" cy="3905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64">
                      <a:extLst>
                        <a:ext uri="{28A0092B-C50C-407E-A947-70E740481C1C}">
                          <a14:useLocalDpi xmlns:a14="http://schemas.microsoft.com/office/drawing/2010/main" val="0"/>
                        </a:ext>
                      </a:extLst>
                    </a:blip>
                    <a:srcRect/>
                    <a:stretch>
                      <a:fillRect/>
                    </a:stretch>
                  </pic:blipFill>
                  <pic:spPr bwMode="auto">
                    <a:xfrm>
                      <a:off x="0" y="0"/>
                      <a:ext cx="1828800" cy="390525"/>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Соблi - размер субсидии из областного бюджета, предоставляемой i-му муниципальному району, муниципальному или городскому округу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65"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6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УОмбi - уровень (доля) софинансирования Новосибирской областью объема расходных обязательств i-го муниципального района, муниципального или городского округа Новосибирской области (далее - уровень софинансирования) в соответствии с поданной заявкой i-го муниципального района, муниципального или городского округа Новосибирской области. Уровень софинансирования на соответствующий финансовый год и плановый период устанавливается в пределах уровня софинансирования, предусмотренного распоряжением Правительства Новосибирской области, согласно </w:t>
      </w:r>
      <w:hyperlink w:history="0" w:anchor="P518" w:tooltip="Предельные уровни софинансирования Новосибирской областью">
        <w:r>
          <w:rPr>
            <w:sz w:val="20"/>
            <w:color w:val="0000ff"/>
          </w:rPr>
          <w:t xml:space="preserve">приложению</w:t>
        </w:r>
      </w:hyperlink>
      <w:r>
        <w:rPr>
          <w:sz w:val="20"/>
        </w:rPr>
        <w:t xml:space="preserve"> к настоящему Порядку;</w:t>
      </w:r>
    </w:p>
    <w:p>
      <w:pPr>
        <w:pStyle w:val="0"/>
        <w:jc w:val="both"/>
      </w:pPr>
      <w:r>
        <w:rPr>
          <w:sz w:val="20"/>
        </w:rPr>
        <w:t xml:space="preserve">(в ред. постановлений Правительства Новосибирской области от 23.03.2021 </w:t>
      </w:r>
      <w:hyperlink w:history="0" r:id="rId167"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rPr>
        <w:t xml:space="preserve">, от 28.03.2023 </w:t>
      </w:r>
      <w:hyperlink w:history="0" r:id="rId168" w:tooltip="Постановление Правительства Новосибирской области от 28.03.2023 N 120-п &quot;О внесении изменений в постановление Правительства Новосибирской области от 26.12.2018 N 570-п&quot; {КонсультантПлюс}">
        <w:r>
          <w:rPr>
            <w:sz w:val="20"/>
            <w:color w:val="0000ff"/>
          </w:rPr>
          <w:t xml:space="preserve">N 120-п</w:t>
        </w:r>
      </w:hyperlink>
      <w:r>
        <w:rPr>
          <w:sz w:val="20"/>
        </w:rPr>
        <w:t xml:space="preserve">, от 28.11.2023 </w:t>
      </w:r>
      <w:hyperlink w:history="0" r:id="rId169"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7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Пмпi - общий объем финансирования i-ой муниципальной программы за счет средств всех бюджетов в соответствии с поданной заявкой.</w:t>
      </w:r>
    </w:p>
    <w:p>
      <w:pPr>
        <w:pStyle w:val="0"/>
        <w:spacing w:before="200" w:line-rule="auto"/>
        <w:ind w:firstLine="540"/>
        <w:jc w:val="both"/>
      </w:pPr>
      <w:r>
        <w:rPr>
          <w:sz w:val="20"/>
        </w:rPr>
        <w:t xml:space="preserve">Абзац утратил силу. - </w:t>
      </w:r>
      <w:hyperlink w:history="0" r:id="rId17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Размер субсидии бюджету муниципального района, муниципального или городского округа Новосибирской области утверждается законом об областном бюджете.</w:t>
      </w:r>
    </w:p>
    <w:p>
      <w:pPr>
        <w:pStyle w:val="0"/>
        <w:jc w:val="both"/>
      </w:pPr>
      <w:r>
        <w:rPr>
          <w:sz w:val="20"/>
        </w:rPr>
        <w:t xml:space="preserve">(в ред. постановлений Правительства Новосибирской области от 28.11.2023 </w:t>
      </w:r>
      <w:hyperlink w:history="0" r:id="rId17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7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6.1. Средства субсидии могут быть направлены на предоставление из местного бюджета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в рамках установленных направлений расходования субсидии с заключением соответствующих соглашений.</w:t>
      </w:r>
    </w:p>
    <w:p>
      <w:pPr>
        <w:pStyle w:val="0"/>
        <w:spacing w:before="200" w:line-rule="auto"/>
        <w:ind w:firstLine="540"/>
        <w:jc w:val="both"/>
      </w:pPr>
      <w:r>
        <w:rPr>
          <w:sz w:val="20"/>
        </w:rPr>
        <w:t xml:space="preserve">В указанные соглашения включаются условия (обязательства сторон), установление которых обеспечивает исполнение администрацией муниципального района, муниципального и городского округа требований целевого использования средств субсидии и соблюдение иных обязательств в рамках соглашения, а также прочие условия, предусмотренные Порядком.</w:t>
      </w:r>
    </w:p>
    <w:p>
      <w:pPr>
        <w:pStyle w:val="0"/>
        <w:jc w:val="both"/>
      </w:pPr>
      <w:r>
        <w:rPr>
          <w:sz w:val="20"/>
        </w:rPr>
        <w:t xml:space="preserve">(в ред. постановлений Правительства Новосибирской области от 28.11.2023 </w:t>
      </w:r>
      <w:hyperlink w:history="0" r:id="rId174"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7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jc w:val="both"/>
      </w:pPr>
      <w:r>
        <w:rPr>
          <w:sz w:val="20"/>
        </w:rPr>
        <w:t xml:space="preserve">(п. 6.1 введен </w:t>
      </w:r>
      <w:hyperlink w:history="0" r:id="rId176"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01.06.2021 N 194-п)</w:t>
      </w:r>
    </w:p>
    <w:p>
      <w:pPr>
        <w:pStyle w:val="0"/>
        <w:spacing w:before="200" w:line-rule="auto"/>
        <w:ind w:firstLine="540"/>
        <w:jc w:val="both"/>
      </w:pPr>
      <w:r>
        <w:rPr>
          <w:sz w:val="20"/>
        </w:rPr>
        <w:t xml:space="preserve">7. Результатом использования субсидии, учитываемым при оценке эффективности ее использования, является доля реализованных муниципальным районом, муниципальным и городским округом Новосибирской области мероприятий муниципальной программы развития ТОС в Новосибирской области, в целях софинансирования которых предоставляется субсидия, от общего количества мероприятий муниципальной программы развития ТОС в Новосибирской области, в целях софинансирования которых предоставляется субсидия.</w:t>
      </w:r>
    </w:p>
    <w:p>
      <w:pPr>
        <w:pStyle w:val="0"/>
        <w:jc w:val="both"/>
      </w:pPr>
      <w:r>
        <w:rPr>
          <w:sz w:val="20"/>
        </w:rPr>
        <w:t xml:space="preserve">(в ред. постановлений Правительства Новосибирской области от 28.11.2023 </w:t>
      </w:r>
      <w:hyperlink w:history="0" r:id="rId177"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7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8. Порядок оценки эффективности использования субсидии устанавливается в соглашении о предоставлении субсидии.</w:t>
      </w:r>
    </w:p>
    <w:p>
      <w:pPr>
        <w:pStyle w:val="0"/>
        <w:spacing w:before="200" w:line-rule="auto"/>
        <w:ind w:firstLine="540"/>
        <w:jc w:val="both"/>
      </w:pPr>
      <w:r>
        <w:rPr>
          <w:sz w:val="20"/>
        </w:rPr>
        <w:t xml:space="preserve">9. В случае установления министерством факта нецелевого использования субсидии она подлежит возврату в доход областного бюджета в сумме средств, использованных не по целевому назначению, в порядке, установленном соглашением о предоставлении субсидии.</w:t>
      </w:r>
    </w:p>
    <w:p>
      <w:pPr>
        <w:pStyle w:val="0"/>
        <w:spacing w:before="200" w:line-rule="auto"/>
        <w:ind w:firstLine="540"/>
        <w:jc w:val="both"/>
      </w:pPr>
      <w:r>
        <w:rPr>
          <w:sz w:val="20"/>
        </w:rPr>
        <w:t xml:space="preserve">В случае установления органом государственного финансового контроля факта нецелевого использования субсидии к муниципальному району, муниципальному и городскому округу Новосибирской области применяются бюджетные меры принуждения в порядке, предусмотренном бюджетным законодательством Российской Федерации и нормативными правовыми актами, регулирующими бюджетные правоотношения.</w:t>
      </w:r>
    </w:p>
    <w:p>
      <w:pPr>
        <w:pStyle w:val="0"/>
        <w:jc w:val="both"/>
      </w:pPr>
      <w:r>
        <w:rPr>
          <w:sz w:val="20"/>
        </w:rPr>
        <w:t xml:space="preserve">(в ред. постановлений Правительства Новосибирской области от 28.11.2023 </w:t>
      </w:r>
      <w:hyperlink w:history="0" r:id="rId179"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8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10. В случае недостижения муниципальным районом, муниципальным или городским округом Новосибирской области результатов использования субсидии, а также в случае несоблюдения муниципальным районом, муниципальным или городским округом Новосибирской области уровня долевого финансирования расходных обязательств, финансовое обеспечение которых может осуществляться за счет средств субсидии, субсидия подлежит возврату в областной бюджет в порядке, определенном Правилами.</w:t>
      </w:r>
    </w:p>
    <w:p>
      <w:pPr>
        <w:pStyle w:val="0"/>
        <w:jc w:val="both"/>
      </w:pPr>
      <w:r>
        <w:rPr>
          <w:sz w:val="20"/>
        </w:rPr>
        <w:t xml:space="preserve">(в ред. постановлений Правительства Новосибирской области от 28.11.2023 </w:t>
      </w:r>
      <w:hyperlink w:history="0" r:id="rId18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82"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11. В случае преобразования муниципального образования 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министерством по вопросу предоставления и распределения субсидий из областного бюджета Новосибирской области бюджетам муниципальных округов, муниципальных районов и городских округов Новосибирской области на софинансирование мероприятий муниципальных программ развития территориального общественного самоуправления в Новосибирской области в рамках мероприятий по содействию развитию местного самоуправления государственной </w:t>
      </w:r>
      <w:hyperlink w:history="0" w:anchor="P81" w:tooltip="ГОСУДАРСТВЕННАЯ ПРОГРАММА">
        <w:r>
          <w:rPr>
            <w:sz w:val="20"/>
            <w:color w:val="0000ff"/>
          </w:rPr>
          <w:t xml:space="preserve">программы</w:t>
        </w:r>
      </w:hyperlink>
      <w:r>
        <w:rPr>
          <w:sz w:val="20"/>
        </w:rPr>
        <w:t xml:space="preserve"> Новосибирской области "Развитие институтов региональной политики и гражданского общества в Новосибирской области".</w:t>
      </w:r>
    </w:p>
    <w:p>
      <w:pPr>
        <w:pStyle w:val="0"/>
        <w:jc w:val="both"/>
      </w:pPr>
      <w:r>
        <w:rPr>
          <w:sz w:val="20"/>
        </w:rPr>
        <w:t xml:space="preserve">(п. 11 введен </w:t>
      </w:r>
      <w:hyperlink w:history="0" r:id="rId18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12. Установить, что при преобразовании муниципального образования Новосибирской области, прошедшего отбор для предоставления субсидий, заключение соглашений о предоставлении из областного бюджета Новосибирской области бюджету участника отбора субсидии в целях софинансирования расходных обязательств муниципального образования, возникающих при реализации муниципальных программ развития территориального общественного самоуправления в Новосибирской области, осуществляется вновь образованным муниципальным округом Новосибирской области.</w:t>
      </w:r>
    </w:p>
    <w:p>
      <w:pPr>
        <w:pStyle w:val="0"/>
        <w:jc w:val="both"/>
      </w:pPr>
      <w:r>
        <w:rPr>
          <w:sz w:val="20"/>
        </w:rPr>
        <w:t xml:space="preserve">(п. 12 введен </w:t>
      </w:r>
      <w:hyperlink w:history="0" r:id="rId184"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17.12.2024 N 586-п)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2"/>
        <w:jc w:val="right"/>
      </w:pPr>
      <w:r>
        <w:rPr>
          <w:sz w:val="20"/>
        </w:rPr>
        <w:t xml:space="preserve">Приложение</w:t>
      </w:r>
    </w:p>
    <w:p>
      <w:pPr>
        <w:pStyle w:val="0"/>
        <w:jc w:val="right"/>
      </w:pPr>
      <w:r>
        <w:rPr>
          <w:sz w:val="20"/>
        </w:rPr>
        <w:t xml:space="preserve">к Порядку</w:t>
      </w:r>
    </w:p>
    <w:p>
      <w:pPr>
        <w:pStyle w:val="0"/>
        <w:jc w:val="right"/>
      </w:pPr>
      <w:r>
        <w:rPr>
          <w:sz w:val="20"/>
        </w:rPr>
        <w:t xml:space="preserve">предоставления и распределения субсидий</w:t>
      </w:r>
    </w:p>
    <w:p>
      <w:pPr>
        <w:pStyle w:val="0"/>
        <w:jc w:val="right"/>
      </w:pPr>
      <w:r>
        <w:rPr>
          <w:sz w:val="20"/>
        </w:rPr>
        <w:t xml:space="preserve">из областного бюджета Новосибирской</w:t>
      </w:r>
    </w:p>
    <w:p>
      <w:pPr>
        <w:pStyle w:val="0"/>
        <w:jc w:val="right"/>
      </w:pPr>
      <w:r>
        <w:rPr>
          <w:sz w:val="20"/>
        </w:rPr>
        <w:t xml:space="preserve">области бюджетам муниципальных районов,</w:t>
      </w:r>
    </w:p>
    <w:p>
      <w:pPr>
        <w:pStyle w:val="0"/>
        <w:jc w:val="right"/>
      </w:pPr>
      <w:r>
        <w:rPr>
          <w:sz w:val="20"/>
        </w:rPr>
        <w:t xml:space="preserve">муниципальных и городских округов</w:t>
      </w:r>
    </w:p>
    <w:p>
      <w:pPr>
        <w:pStyle w:val="0"/>
        <w:jc w:val="right"/>
      </w:pPr>
      <w:r>
        <w:rPr>
          <w:sz w:val="20"/>
        </w:rPr>
        <w:t xml:space="preserve">Новосибирской области на софинансирование</w:t>
      </w:r>
    </w:p>
    <w:p>
      <w:pPr>
        <w:pStyle w:val="0"/>
        <w:jc w:val="right"/>
      </w:pPr>
      <w:r>
        <w:rPr>
          <w:sz w:val="20"/>
        </w:rPr>
        <w:t xml:space="preserve">мероприятий муниципальных программ развития</w:t>
      </w:r>
    </w:p>
    <w:p>
      <w:pPr>
        <w:pStyle w:val="0"/>
        <w:jc w:val="right"/>
      </w:pPr>
      <w:r>
        <w:rPr>
          <w:sz w:val="20"/>
        </w:rPr>
        <w:t xml:space="preserve">территориального общественного самоуправления</w:t>
      </w:r>
    </w:p>
    <w:p>
      <w:pPr>
        <w:pStyle w:val="0"/>
        <w:ind w:firstLine="540"/>
        <w:jc w:val="both"/>
      </w:pPr>
      <w:r>
        <w:rPr>
          <w:sz w:val="20"/>
        </w:rPr>
      </w:r>
    </w:p>
    <w:bookmarkStart w:id="518" w:name="P518"/>
    <w:bookmarkEnd w:id="518"/>
    <w:p>
      <w:pPr>
        <w:pStyle w:val="2"/>
        <w:jc w:val="center"/>
      </w:pPr>
      <w:r>
        <w:rPr>
          <w:sz w:val="20"/>
        </w:rPr>
        <w:t xml:space="preserve">Предельные уровни софинансирования Новосибирской областью</w:t>
      </w:r>
    </w:p>
    <w:p>
      <w:pPr>
        <w:pStyle w:val="2"/>
        <w:jc w:val="center"/>
      </w:pPr>
      <w:r>
        <w:rPr>
          <w:sz w:val="20"/>
        </w:rPr>
        <w:t xml:space="preserve">(в процентах) объемов расходных обязательств муниципальных</w:t>
      </w:r>
    </w:p>
    <w:p>
      <w:pPr>
        <w:pStyle w:val="2"/>
        <w:jc w:val="center"/>
      </w:pPr>
      <w:r>
        <w:rPr>
          <w:sz w:val="20"/>
        </w:rPr>
        <w:t xml:space="preserve">районов, муниципальных и городских округов Новосибирской</w:t>
      </w:r>
    </w:p>
    <w:p>
      <w:pPr>
        <w:pStyle w:val="2"/>
        <w:jc w:val="center"/>
      </w:pPr>
      <w:r>
        <w:rPr>
          <w:sz w:val="20"/>
        </w:rPr>
        <w:t xml:space="preserve">области на 2025 год и плановый период 2026 - 2027 годов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8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color w:val="392c69"/>
              </w:rPr>
              <w:t xml:space="preserve"> Правительства Новосибирской области</w:t>
            </w:r>
          </w:p>
          <w:p>
            <w:pPr>
              <w:pStyle w:val="0"/>
              <w:jc w:val="center"/>
            </w:pPr>
            <w:r>
              <w:rPr>
                <w:sz w:val="20"/>
                <w:color w:val="392c69"/>
              </w:rPr>
              <w:t xml:space="preserve">от 17.12.2024 N 586-п)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628"/>
        <w:gridCol w:w="1814"/>
        <w:gridCol w:w="1814"/>
        <w:gridCol w:w="1814"/>
      </w:tblGrid>
      <w:tr>
        <w:tc>
          <w:tcPr>
            <w:tcW w:w="3628" w:type="dxa"/>
            <w:vMerge w:val="restart"/>
          </w:tcPr>
          <w:p>
            <w:pPr>
              <w:pStyle w:val="0"/>
              <w:jc w:val="center"/>
            </w:pPr>
            <w:r>
              <w:rPr>
                <w:sz w:val="20"/>
              </w:rPr>
              <w:t xml:space="preserve">Наименования муниципальных районов, муниципальных округов и городских округов Новосибирской области</w:t>
            </w:r>
          </w:p>
        </w:tc>
        <w:tc>
          <w:tcPr>
            <w:gridSpan w:val="3"/>
            <w:tcW w:w="5442" w:type="dxa"/>
          </w:tcPr>
          <w:p>
            <w:pPr>
              <w:pStyle w:val="0"/>
              <w:jc w:val="center"/>
            </w:pPr>
            <w:r>
              <w:rPr>
                <w:sz w:val="20"/>
              </w:rPr>
              <w:t xml:space="preserve">Предельные уровни софинансирования, в процентах</w:t>
            </w:r>
          </w:p>
        </w:tc>
      </w:tr>
      <w:tr>
        <w:tc>
          <w:tcPr>
            <w:vMerge w:val="continue"/>
          </w:tcPr>
          <w:p/>
        </w:tc>
        <w:tc>
          <w:tcPr>
            <w:tcW w:w="1814" w:type="dxa"/>
          </w:tcPr>
          <w:p>
            <w:pPr>
              <w:pStyle w:val="0"/>
              <w:jc w:val="center"/>
            </w:pPr>
            <w:r>
              <w:rPr>
                <w:sz w:val="20"/>
              </w:rPr>
              <w:t xml:space="preserve">2025 год</w:t>
            </w:r>
          </w:p>
        </w:tc>
        <w:tc>
          <w:tcPr>
            <w:tcW w:w="1814" w:type="dxa"/>
          </w:tcPr>
          <w:p>
            <w:pPr>
              <w:pStyle w:val="0"/>
              <w:jc w:val="center"/>
            </w:pPr>
            <w:r>
              <w:rPr>
                <w:sz w:val="20"/>
              </w:rPr>
              <w:t xml:space="preserve">2026 год</w:t>
            </w:r>
          </w:p>
        </w:tc>
        <w:tc>
          <w:tcPr>
            <w:tcW w:w="1814" w:type="dxa"/>
          </w:tcPr>
          <w:p>
            <w:pPr>
              <w:pStyle w:val="0"/>
              <w:jc w:val="center"/>
            </w:pPr>
            <w:r>
              <w:rPr>
                <w:sz w:val="20"/>
              </w:rPr>
              <w:t xml:space="preserve">2027 год</w:t>
            </w:r>
          </w:p>
        </w:tc>
      </w:tr>
      <w:tr>
        <w:tc>
          <w:tcPr>
            <w:tcW w:w="3628" w:type="dxa"/>
          </w:tcPr>
          <w:p>
            <w:pPr>
              <w:pStyle w:val="0"/>
            </w:pPr>
            <w:r>
              <w:rPr>
                <w:sz w:val="20"/>
              </w:rPr>
              <w:t xml:space="preserve">Баганский район</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r>
      <w:tr>
        <w:tc>
          <w:tcPr>
            <w:tcW w:w="3628" w:type="dxa"/>
          </w:tcPr>
          <w:p>
            <w:pPr>
              <w:pStyle w:val="0"/>
            </w:pPr>
            <w:r>
              <w:rPr>
                <w:sz w:val="20"/>
              </w:rPr>
              <w:t xml:space="preserve">Барабинский район</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r>
      <w:tr>
        <w:tc>
          <w:tcPr>
            <w:tcW w:w="3628" w:type="dxa"/>
          </w:tcPr>
          <w:p>
            <w:pPr>
              <w:pStyle w:val="0"/>
            </w:pPr>
            <w:r>
              <w:rPr>
                <w:sz w:val="20"/>
              </w:rPr>
              <w:t xml:space="preserve">Болотнинский район</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r>
      <w:tr>
        <w:tc>
          <w:tcPr>
            <w:tcW w:w="3628" w:type="dxa"/>
          </w:tcPr>
          <w:p>
            <w:pPr>
              <w:pStyle w:val="0"/>
            </w:pPr>
            <w:r>
              <w:rPr>
                <w:sz w:val="20"/>
              </w:rPr>
              <w:t xml:space="preserve">Венгеровский район</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r>
      <w:tr>
        <w:tc>
          <w:tcPr>
            <w:tcW w:w="3628" w:type="dxa"/>
          </w:tcPr>
          <w:p>
            <w:pPr>
              <w:pStyle w:val="0"/>
            </w:pPr>
            <w:r>
              <w:rPr>
                <w:sz w:val="20"/>
              </w:rPr>
              <w:t xml:space="preserve">Доволенский район</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r>
      <w:tr>
        <w:tc>
          <w:tcPr>
            <w:tcW w:w="3628" w:type="dxa"/>
          </w:tcPr>
          <w:p>
            <w:pPr>
              <w:pStyle w:val="0"/>
            </w:pPr>
            <w:r>
              <w:rPr>
                <w:sz w:val="20"/>
              </w:rPr>
              <w:t xml:space="preserve">Здвинский район</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r>
      <w:tr>
        <w:tc>
          <w:tcPr>
            <w:tcW w:w="3628" w:type="dxa"/>
          </w:tcPr>
          <w:p>
            <w:pPr>
              <w:pStyle w:val="0"/>
            </w:pPr>
            <w:r>
              <w:rPr>
                <w:sz w:val="20"/>
              </w:rPr>
              <w:t xml:space="preserve">Искитимский район</w:t>
            </w:r>
          </w:p>
        </w:tc>
        <w:tc>
          <w:tcPr>
            <w:tcW w:w="1814" w:type="dxa"/>
            <w:vAlign w:val="bottom"/>
          </w:tcPr>
          <w:p>
            <w:pPr>
              <w:pStyle w:val="0"/>
              <w:jc w:val="center"/>
            </w:pPr>
            <w:r>
              <w:rPr>
                <w:sz w:val="20"/>
              </w:rPr>
              <w:t xml:space="preserve">97,4</w:t>
            </w:r>
          </w:p>
        </w:tc>
        <w:tc>
          <w:tcPr>
            <w:tcW w:w="1814" w:type="dxa"/>
            <w:vAlign w:val="bottom"/>
          </w:tcPr>
          <w:p>
            <w:pPr>
              <w:pStyle w:val="0"/>
              <w:jc w:val="center"/>
            </w:pPr>
            <w:r>
              <w:rPr>
                <w:sz w:val="20"/>
              </w:rPr>
              <w:t xml:space="preserve">97,4</w:t>
            </w:r>
          </w:p>
        </w:tc>
        <w:tc>
          <w:tcPr>
            <w:tcW w:w="1814" w:type="dxa"/>
            <w:vAlign w:val="bottom"/>
          </w:tcPr>
          <w:p>
            <w:pPr>
              <w:pStyle w:val="0"/>
              <w:jc w:val="center"/>
            </w:pPr>
            <w:r>
              <w:rPr>
                <w:sz w:val="20"/>
              </w:rPr>
              <w:t xml:space="preserve">97,4</w:t>
            </w:r>
          </w:p>
        </w:tc>
      </w:tr>
      <w:tr>
        <w:tc>
          <w:tcPr>
            <w:tcW w:w="3628" w:type="dxa"/>
          </w:tcPr>
          <w:p>
            <w:pPr>
              <w:pStyle w:val="0"/>
            </w:pPr>
            <w:r>
              <w:rPr>
                <w:sz w:val="20"/>
              </w:rPr>
              <w:t xml:space="preserve">Каргатский район</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r>
      <w:tr>
        <w:tc>
          <w:tcPr>
            <w:tcW w:w="3628" w:type="dxa"/>
          </w:tcPr>
          <w:p>
            <w:pPr>
              <w:pStyle w:val="0"/>
            </w:pPr>
            <w:r>
              <w:rPr>
                <w:sz w:val="20"/>
              </w:rPr>
              <w:t xml:space="preserve">Колыванский район</w:t>
            </w:r>
          </w:p>
        </w:tc>
        <w:tc>
          <w:tcPr>
            <w:tcW w:w="1814" w:type="dxa"/>
            <w:vAlign w:val="bottom"/>
          </w:tcPr>
          <w:p>
            <w:pPr>
              <w:pStyle w:val="0"/>
              <w:jc w:val="center"/>
            </w:pPr>
            <w:r>
              <w:rPr>
                <w:sz w:val="20"/>
              </w:rPr>
              <w:t xml:space="preserve">98,4</w:t>
            </w:r>
          </w:p>
        </w:tc>
        <w:tc>
          <w:tcPr>
            <w:tcW w:w="1814" w:type="dxa"/>
            <w:vAlign w:val="bottom"/>
          </w:tcPr>
          <w:p>
            <w:pPr>
              <w:pStyle w:val="0"/>
              <w:jc w:val="center"/>
            </w:pPr>
            <w:r>
              <w:rPr>
                <w:sz w:val="20"/>
              </w:rPr>
              <w:t xml:space="preserve">98,4</w:t>
            </w:r>
          </w:p>
        </w:tc>
        <w:tc>
          <w:tcPr>
            <w:tcW w:w="1814" w:type="dxa"/>
            <w:vAlign w:val="bottom"/>
          </w:tcPr>
          <w:p>
            <w:pPr>
              <w:pStyle w:val="0"/>
              <w:jc w:val="center"/>
            </w:pPr>
            <w:r>
              <w:rPr>
                <w:sz w:val="20"/>
              </w:rPr>
              <w:t xml:space="preserve">98,4</w:t>
            </w:r>
          </w:p>
        </w:tc>
      </w:tr>
      <w:tr>
        <w:tc>
          <w:tcPr>
            <w:tcW w:w="3628" w:type="dxa"/>
          </w:tcPr>
          <w:p>
            <w:pPr>
              <w:pStyle w:val="0"/>
            </w:pPr>
            <w:r>
              <w:rPr>
                <w:sz w:val="20"/>
              </w:rPr>
              <w:t xml:space="preserve">Коченевский район</w:t>
            </w:r>
          </w:p>
        </w:tc>
        <w:tc>
          <w:tcPr>
            <w:tcW w:w="1814" w:type="dxa"/>
            <w:vAlign w:val="bottom"/>
          </w:tcPr>
          <w:p>
            <w:pPr>
              <w:pStyle w:val="0"/>
              <w:jc w:val="center"/>
            </w:pPr>
            <w:r>
              <w:rPr>
                <w:sz w:val="20"/>
              </w:rPr>
              <w:t xml:space="preserve">98,1</w:t>
            </w:r>
          </w:p>
        </w:tc>
        <w:tc>
          <w:tcPr>
            <w:tcW w:w="1814" w:type="dxa"/>
            <w:vAlign w:val="bottom"/>
          </w:tcPr>
          <w:p>
            <w:pPr>
              <w:pStyle w:val="0"/>
              <w:jc w:val="center"/>
            </w:pPr>
            <w:r>
              <w:rPr>
                <w:sz w:val="20"/>
              </w:rPr>
              <w:t xml:space="preserve">98,1</w:t>
            </w:r>
          </w:p>
        </w:tc>
        <w:tc>
          <w:tcPr>
            <w:tcW w:w="1814" w:type="dxa"/>
            <w:vAlign w:val="bottom"/>
          </w:tcPr>
          <w:p>
            <w:pPr>
              <w:pStyle w:val="0"/>
              <w:jc w:val="center"/>
            </w:pPr>
            <w:r>
              <w:rPr>
                <w:sz w:val="20"/>
              </w:rPr>
              <w:t xml:space="preserve">98,1</w:t>
            </w:r>
          </w:p>
        </w:tc>
      </w:tr>
      <w:tr>
        <w:tc>
          <w:tcPr>
            <w:tcW w:w="3628" w:type="dxa"/>
          </w:tcPr>
          <w:p>
            <w:pPr>
              <w:pStyle w:val="0"/>
            </w:pPr>
            <w:r>
              <w:rPr>
                <w:sz w:val="20"/>
              </w:rPr>
              <w:t xml:space="preserve">Кочковский район</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r>
      <w:tr>
        <w:tc>
          <w:tcPr>
            <w:tcW w:w="3628" w:type="dxa"/>
          </w:tcPr>
          <w:p>
            <w:pPr>
              <w:pStyle w:val="0"/>
            </w:pPr>
            <w:r>
              <w:rPr>
                <w:sz w:val="20"/>
              </w:rPr>
              <w:t xml:space="preserve">Краснозерский район</w:t>
            </w:r>
          </w:p>
        </w:tc>
        <w:tc>
          <w:tcPr>
            <w:tcW w:w="1814" w:type="dxa"/>
            <w:vAlign w:val="bottom"/>
          </w:tcPr>
          <w:p>
            <w:pPr>
              <w:pStyle w:val="0"/>
              <w:jc w:val="center"/>
            </w:pPr>
            <w:r>
              <w:rPr>
                <w:sz w:val="20"/>
              </w:rPr>
              <w:t xml:space="preserve">98,5</w:t>
            </w:r>
          </w:p>
        </w:tc>
        <w:tc>
          <w:tcPr>
            <w:tcW w:w="1814" w:type="dxa"/>
            <w:vAlign w:val="bottom"/>
          </w:tcPr>
          <w:p>
            <w:pPr>
              <w:pStyle w:val="0"/>
              <w:jc w:val="center"/>
            </w:pPr>
            <w:r>
              <w:rPr>
                <w:sz w:val="20"/>
              </w:rPr>
              <w:t xml:space="preserve">98,5</w:t>
            </w:r>
          </w:p>
        </w:tc>
        <w:tc>
          <w:tcPr>
            <w:tcW w:w="1814" w:type="dxa"/>
            <w:vAlign w:val="bottom"/>
          </w:tcPr>
          <w:p>
            <w:pPr>
              <w:pStyle w:val="0"/>
              <w:jc w:val="center"/>
            </w:pPr>
            <w:r>
              <w:rPr>
                <w:sz w:val="20"/>
              </w:rPr>
              <w:t xml:space="preserve">98,5</w:t>
            </w:r>
          </w:p>
        </w:tc>
      </w:tr>
      <w:tr>
        <w:tc>
          <w:tcPr>
            <w:tcW w:w="3628" w:type="dxa"/>
          </w:tcPr>
          <w:p>
            <w:pPr>
              <w:pStyle w:val="0"/>
            </w:pPr>
            <w:r>
              <w:rPr>
                <w:sz w:val="20"/>
              </w:rPr>
              <w:t xml:space="preserve">Куйбышевский район</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r>
      <w:tr>
        <w:tc>
          <w:tcPr>
            <w:tcW w:w="3628" w:type="dxa"/>
          </w:tcPr>
          <w:p>
            <w:pPr>
              <w:pStyle w:val="0"/>
            </w:pPr>
            <w:r>
              <w:rPr>
                <w:sz w:val="20"/>
              </w:rPr>
              <w:t xml:space="preserve">Купинский район</w:t>
            </w:r>
          </w:p>
        </w:tc>
        <w:tc>
          <w:tcPr>
            <w:tcW w:w="1814" w:type="dxa"/>
            <w:vAlign w:val="bottom"/>
          </w:tcPr>
          <w:p>
            <w:pPr>
              <w:pStyle w:val="0"/>
              <w:jc w:val="center"/>
            </w:pPr>
            <w:r>
              <w:rPr>
                <w:sz w:val="20"/>
              </w:rPr>
              <w:t xml:space="preserve">98,7</w:t>
            </w:r>
          </w:p>
        </w:tc>
        <w:tc>
          <w:tcPr>
            <w:tcW w:w="1814" w:type="dxa"/>
            <w:vAlign w:val="bottom"/>
          </w:tcPr>
          <w:p>
            <w:pPr>
              <w:pStyle w:val="0"/>
              <w:jc w:val="center"/>
            </w:pPr>
            <w:r>
              <w:rPr>
                <w:sz w:val="20"/>
              </w:rPr>
              <w:t xml:space="preserve">98,7</w:t>
            </w:r>
          </w:p>
        </w:tc>
        <w:tc>
          <w:tcPr>
            <w:tcW w:w="1814" w:type="dxa"/>
            <w:vAlign w:val="bottom"/>
          </w:tcPr>
          <w:p>
            <w:pPr>
              <w:pStyle w:val="0"/>
              <w:jc w:val="center"/>
            </w:pPr>
            <w:r>
              <w:rPr>
                <w:sz w:val="20"/>
              </w:rPr>
              <w:t xml:space="preserve">98,7</w:t>
            </w:r>
          </w:p>
        </w:tc>
      </w:tr>
      <w:tr>
        <w:tc>
          <w:tcPr>
            <w:tcW w:w="3628" w:type="dxa"/>
          </w:tcPr>
          <w:p>
            <w:pPr>
              <w:pStyle w:val="0"/>
            </w:pPr>
            <w:r>
              <w:rPr>
                <w:sz w:val="20"/>
              </w:rPr>
              <w:t xml:space="preserve">Кыштовский район</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r>
      <w:tr>
        <w:tc>
          <w:tcPr>
            <w:tcW w:w="3628" w:type="dxa"/>
          </w:tcPr>
          <w:p>
            <w:pPr>
              <w:pStyle w:val="0"/>
            </w:pPr>
            <w:r>
              <w:rPr>
                <w:sz w:val="20"/>
              </w:rPr>
              <w:t xml:space="preserve">Мошковский район</w:t>
            </w:r>
          </w:p>
        </w:tc>
        <w:tc>
          <w:tcPr>
            <w:tcW w:w="1814" w:type="dxa"/>
            <w:vAlign w:val="bottom"/>
          </w:tcPr>
          <w:p>
            <w:pPr>
              <w:pStyle w:val="0"/>
              <w:jc w:val="center"/>
            </w:pPr>
            <w:r>
              <w:rPr>
                <w:sz w:val="20"/>
              </w:rPr>
              <w:t xml:space="preserve">98,1</w:t>
            </w:r>
          </w:p>
        </w:tc>
        <w:tc>
          <w:tcPr>
            <w:tcW w:w="1814" w:type="dxa"/>
            <w:vAlign w:val="bottom"/>
          </w:tcPr>
          <w:p>
            <w:pPr>
              <w:pStyle w:val="0"/>
              <w:jc w:val="center"/>
            </w:pPr>
            <w:r>
              <w:rPr>
                <w:sz w:val="20"/>
              </w:rPr>
              <w:t xml:space="preserve">98,1</w:t>
            </w:r>
          </w:p>
        </w:tc>
        <w:tc>
          <w:tcPr>
            <w:tcW w:w="1814" w:type="dxa"/>
            <w:vAlign w:val="bottom"/>
          </w:tcPr>
          <w:p>
            <w:pPr>
              <w:pStyle w:val="0"/>
              <w:jc w:val="center"/>
            </w:pPr>
            <w:r>
              <w:rPr>
                <w:sz w:val="20"/>
              </w:rPr>
              <w:t xml:space="preserve">98,1</w:t>
            </w:r>
          </w:p>
        </w:tc>
      </w:tr>
      <w:tr>
        <w:tc>
          <w:tcPr>
            <w:tcW w:w="3628" w:type="dxa"/>
          </w:tcPr>
          <w:p>
            <w:pPr>
              <w:pStyle w:val="0"/>
            </w:pPr>
            <w:r>
              <w:rPr>
                <w:sz w:val="20"/>
              </w:rPr>
              <w:t xml:space="preserve">Новосибирский район</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r>
      <w:tr>
        <w:tc>
          <w:tcPr>
            <w:tcW w:w="3628" w:type="dxa"/>
          </w:tcPr>
          <w:p>
            <w:pPr>
              <w:pStyle w:val="0"/>
            </w:pPr>
            <w:r>
              <w:rPr>
                <w:sz w:val="20"/>
              </w:rPr>
              <w:t xml:space="preserve">Ордынский район</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r>
      <w:tr>
        <w:tc>
          <w:tcPr>
            <w:tcW w:w="3628" w:type="dxa"/>
          </w:tcPr>
          <w:p>
            <w:pPr>
              <w:pStyle w:val="0"/>
            </w:pPr>
            <w:r>
              <w:rPr>
                <w:sz w:val="20"/>
              </w:rPr>
              <w:t xml:space="preserve">Северный район</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r>
      <w:tr>
        <w:tc>
          <w:tcPr>
            <w:tcW w:w="3628" w:type="dxa"/>
          </w:tcPr>
          <w:p>
            <w:pPr>
              <w:pStyle w:val="0"/>
            </w:pPr>
            <w:r>
              <w:rPr>
                <w:sz w:val="20"/>
              </w:rPr>
              <w:t xml:space="preserve">Сузунский район</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r>
      <w:tr>
        <w:tc>
          <w:tcPr>
            <w:tcW w:w="3628" w:type="dxa"/>
          </w:tcPr>
          <w:p>
            <w:pPr>
              <w:pStyle w:val="0"/>
            </w:pPr>
            <w:r>
              <w:rPr>
                <w:sz w:val="20"/>
              </w:rPr>
              <w:t xml:space="preserve">Тогучинский район</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r>
      <w:tr>
        <w:tc>
          <w:tcPr>
            <w:tcW w:w="3628" w:type="dxa"/>
          </w:tcPr>
          <w:p>
            <w:pPr>
              <w:pStyle w:val="0"/>
            </w:pPr>
            <w:r>
              <w:rPr>
                <w:sz w:val="20"/>
              </w:rPr>
              <w:t xml:space="preserve">Убинский район</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r>
      <w:tr>
        <w:tc>
          <w:tcPr>
            <w:tcW w:w="3628" w:type="dxa"/>
          </w:tcPr>
          <w:p>
            <w:pPr>
              <w:pStyle w:val="0"/>
            </w:pPr>
            <w:r>
              <w:rPr>
                <w:sz w:val="20"/>
              </w:rPr>
              <w:t xml:space="preserve">Усть-Таркский район</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r>
      <w:tr>
        <w:tc>
          <w:tcPr>
            <w:tcW w:w="3628" w:type="dxa"/>
          </w:tcPr>
          <w:p>
            <w:pPr>
              <w:pStyle w:val="0"/>
            </w:pPr>
            <w:r>
              <w:rPr>
                <w:sz w:val="20"/>
              </w:rPr>
              <w:t xml:space="preserve">Чановский район</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c>
          <w:tcPr>
            <w:tcW w:w="1814" w:type="dxa"/>
            <w:vAlign w:val="bottom"/>
          </w:tcPr>
          <w:p>
            <w:pPr>
              <w:pStyle w:val="0"/>
              <w:jc w:val="center"/>
            </w:pPr>
            <w:r>
              <w:rPr>
                <w:sz w:val="20"/>
              </w:rPr>
              <w:t xml:space="preserve">98,8</w:t>
            </w:r>
          </w:p>
        </w:tc>
      </w:tr>
      <w:tr>
        <w:tc>
          <w:tcPr>
            <w:tcW w:w="3628" w:type="dxa"/>
          </w:tcPr>
          <w:p>
            <w:pPr>
              <w:pStyle w:val="0"/>
            </w:pPr>
            <w:r>
              <w:rPr>
                <w:sz w:val="20"/>
              </w:rPr>
              <w:t xml:space="preserve">Черепановский район</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c>
          <w:tcPr>
            <w:tcW w:w="1814" w:type="dxa"/>
            <w:vAlign w:val="bottom"/>
          </w:tcPr>
          <w:p>
            <w:pPr>
              <w:pStyle w:val="0"/>
              <w:jc w:val="center"/>
            </w:pPr>
            <w:r>
              <w:rPr>
                <w:sz w:val="20"/>
              </w:rPr>
              <w:t xml:space="preserve">98,3</w:t>
            </w:r>
          </w:p>
        </w:tc>
      </w:tr>
      <w:tr>
        <w:tc>
          <w:tcPr>
            <w:tcW w:w="3628" w:type="dxa"/>
          </w:tcPr>
          <w:p>
            <w:pPr>
              <w:pStyle w:val="0"/>
            </w:pPr>
            <w:r>
              <w:rPr>
                <w:sz w:val="20"/>
              </w:rPr>
              <w:t xml:space="preserve">Чистоозерный район</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c>
          <w:tcPr>
            <w:tcW w:w="1814" w:type="dxa"/>
            <w:vAlign w:val="bottom"/>
          </w:tcPr>
          <w:p>
            <w:pPr>
              <w:pStyle w:val="0"/>
              <w:jc w:val="center"/>
            </w:pPr>
            <w:r>
              <w:rPr>
                <w:sz w:val="20"/>
              </w:rPr>
              <w:t xml:space="preserve">98,9</w:t>
            </w:r>
          </w:p>
        </w:tc>
      </w:tr>
      <w:tr>
        <w:tc>
          <w:tcPr>
            <w:tcW w:w="3628" w:type="dxa"/>
          </w:tcPr>
          <w:p>
            <w:pPr>
              <w:pStyle w:val="0"/>
            </w:pPr>
            <w:r>
              <w:rPr>
                <w:sz w:val="20"/>
              </w:rPr>
              <w:t xml:space="preserve">Чулымский район</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r>
      <w:tr>
        <w:tc>
          <w:tcPr>
            <w:tcW w:w="3628" w:type="dxa"/>
          </w:tcPr>
          <w:p>
            <w:pPr>
              <w:pStyle w:val="0"/>
            </w:pPr>
            <w:r>
              <w:rPr>
                <w:sz w:val="20"/>
              </w:rPr>
              <w:t xml:space="preserve">Карасукский муниципальный округ</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r>
      <w:tr>
        <w:tc>
          <w:tcPr>
            <w:tcW w:w="3628" w:type="dxa"/>
          </w:tcPr>
          <w:p>
            <w:pPr>
              <w:pStyle w:val="0"/>
            </w:pPr>
            <w:r>
              <w:rPr>
                <w:sz w:val="20"/>
              </w:rPr>
              <w:t xml:space="preserve">Маслянинский муниципальный округ</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r>
      <w:tr>
        <w:tc>
          <w:tcPr>
            <w:tcW w:w="3628" w:type="dxa"/>
          </w:tcPr>
          <w:p>
            <w:pPr>
              <w:pStyle w:val="0"/>
            </w:pPr>
            <w:r>
              <w:rPr>
                <w:sz w:val="20"/>
              </w:rPr>
              <w:t xml:space="preserve">Татарский муниципальный округ</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c>
          <w:tcPr>
            <w:tcW w:w="1814" w:type="dxa"/>
            <w:vAlign w:val="bottom"/>
          </w:tcPr>
          <w:p>
            <w:pPr>
              <w:pStyle w:val="0"/>
              <w:jc w:val="center"/>
            </w:pPr>
            <w:r>
              <w:rPr>
                <w:sz w:val="20"/>
              </w:rPr>
              <w:t xml:space="preserve">98,2</w:t>
            </w:r>
          </w:p>
        </w:tc>
      </w:tr>
      <w:tr>
        <w:tc>
          <w:tcPr>
            <w:tcW w:w="3628" w:type="dxa"/>
          </w:tcPr>
          <w:p>
            <w:pPr>
              <w:pStyle w:val="0"/>
            </w:pPr>
            <w:r>
              <w:rPr>
                <w:sz w:val="20"/>
              </w:rPr>
              <w:t xml:space="preserve">г. Бердск</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c>
          <w:tcPr>
            <w:tcW w:w="1814" w:type="dxa"/>
            <w:vAlign w:val="bottom"/>
          </w:tcPr>
          <w:p>
            <w:pPr>
              <w:pStyle w:val="0"/>
              <w:jc w:val="center"/>
            </w:pPr>
            <w:r>
              <w:rPr>
                <w:sz w:val="20"/>
              </w:rPr>
              <w:t xml:space="preserve">98,6</w:t>
            </w:r>
          </w:p>
        </w:tc>
      </w:tr>
      <w:tr>
        <w:tc>
          <w:tcPr>
            <w:tcW w:w="3628" w:type="dxa"/>
          </w:tcPr>
          <w:p>
            <w:pPr>
              <w:pStyle w:val="0"/>
            </w:pPr>
            <w:r>
              <w:rPr>
                <w:sz w:val="20"/>
              </w:rPr>
              <w:t xml:space="preserve">г. Искитим</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c>
          <w:tcPr>
            <w:tcW w:w="1814" w:type="dxa"/>
            <w:vAlign w:val="bottom"/>
          </w:tcPr>
          <w:p>
            <w:pPr>
              <w:pStyle w:val="0"/>
              <w:jc w:val="center"/>
            </w:pPr>
            <w:r>
              <w:rPr>
                <w:sz w:val="20"/>
              </w:rPr>
              <w:t xml:space="preserve">99,0</w:t>
            </w:r>
          </w:p>
        </w:tc>
      </w:tr>
      <w:tr>
        <w:tc>
          <w:tcPr>
            <w:tcW w:w="3628" w:type="dxa"/>
          </w:tcPr>
          <w:p>
            <w:pPr>
              <w:pStyle w:val="0"/>
            </w:pPr>
            <w:r>
              <w:rPr>
                <w:sz w:val="20"/>
              </w:rPr>
              <w:t xml:space="preserve">р.п. Кольцово</w:t>
            </w:r>
          </w:p>
        </w:tc>
        <w:tc>
          <w:tcPr>
            <w:tcW w:w="1814" w:type="dxa"/>
            <w:vAlign w:val="bottom"/>
          </w:tcPr>
          <w:p>
            <w:pPr>
              <w:pStyle w:val="0"/>
              <w:jc w:val="center"/>
            </w:pPr>
            <w:r>
              <w:rPr>
                <w:sz w:val="20"/>
              </w:rPr>
              <w:t xml:space="preserve">97,6</w:t>
            </w:r>
          </w:p>
        </w:tc>
        <w:tc>
          <w:tcPr>
            <w:tcW w:w="1814" w:type="dxa"/>
            <w:vAlign w:val="bottom"/>
          </w:tcPr>
          <w:p>
            <w:pPr>
              <w:pStyle w:val="0"/>
              <w:jc w:val="center"/>
            </w:pPr>
            <w:r>
              <w:rPr>
                <w:sz w:val="20"/>
              </w:rPr>
              <w:t xml:space="preserve">97,6</w:t>
            </w:r>
          </w:p>
        </w:tc>
        <w:tc>
          <w:tcPr>
            <w:tcW w:w="1814" w:type="dxa"/>
            <w:vAlign w:val="bottom"/>
          </w:tcPr>
          <w:p>
            <w:pPr>
              <w:pStyle w:val="0"/>
              <w:jc w:val="center"/>
            </w:pPr>
            <w:r>
              <w:rPr>
                <w:sz w:val="20"/>
              </w:rPr>
              <w:t xml:space="preserve">97,6</w:t>
            </w:r>
          </w:p>
        </w:tc>
      </w:tr>
      <w:tr>
        <w:tc>
          <w:tcPr>
            <w:tcW w:w="3628" w:type="dxa"/>
          </w:tcPr>
          <w:p>
            <w:pPr>
              <w:pStyle w:val="0"/>
            </w:pPr>
            <w:r>
              <w:rPr>
                <w:sz w:val="20"/>
              </w:rPr>
              <w:t xml:space="preserve">г. Обь</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r>
      <w:tr>
        <w:tc>
          <w:tcPr>
            <w:tcW w:w="3628" w:type="dxa"/>
          </w:tcPr>
          <w:p>
            <w:pPr>
              <w:pStyle w:val="0"/>
            </w:pPr>
            <w:r>
              <w:rPr>
                <w:sz w:val="20"/>
              </w:rPr>
              <w:t xml:space="preserve">г. Новосибирск</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c>
          <w:tcPr>
            <w:tcW w:w="1814" w:type="dxa"/>
            <w:vAlign w:val="bottom"/>
          </w:tcPr>
          <w:p>
            <w:pPr>
              <w:pStyle w:val="0"/>
              <w:jc w:val="center"/>
            </w:pPr>
            <w:r>
              <w:rPr>
                <w:sz w:val="20"/>
              </w:rPr>
              <w:t xml:space="preserve">95,0</w:t>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N 9</w:t>
      </w:r>
    </w:p>
    <w:p>
      <w:pPr>
        <w:pStyle w:val="0"/>
        <w:jc w:val="right"/>
      </w:pPr>
      <w:r>
        <w:rPr>
          <w:sz w:val="20"/>
        </w:rPr>
        <w:t xml:space="preserve">к государственной программе</w:t>
      </w:r>
    </w:p>
    <w:p>
      <w:pPr>
        <w:pStyle w:val="0"/>
        <w:jc w:val="right"/>
      </w:pPr>
      <w:r>
        <w:rPr>
          <w:sz w:val="20"/>
        </w:rPr>
        <w:t xml:space="preserve">Новосибирской области "Развитие</w:t>
      </w:r>
    </w:p>
    <w:p>
      <w:pPr>
        <w:pStyle w:val="0"/>
        <w:jc w:val="right"/>
      </w:pPr>
      <w:r>
        <w:rPr>
          <w:sz w:val="20"/>
        </w:rPr>
        <w:t xml:space="preserve">институтов региональной политики</w:t>
      </w:r>
    </w:p>
    <w:p>
      <w:pPr>
        <w:pStyle w:val="0"/>
        <w:jc w:val="right"/>
      </w:pPr>
      <w:r>
        <w:rPr>
          <w:sz w:val="20"/>
        </w:rPr>
        <w:t xml:space="preserve">и гражданского общества в</w:t>
      </w:r>
    </w:p>
    <w:p>
      <w:pPr>
        <w:pStyle w:val="0"/>
        <w:jc w:val="right"/>
      </w:pPr>
      <w:r>
        <w:rPr>
          <w:sz w:val="20"/>
        </w:rPr>
        <w:t xml:space="preserve">Новосибирской области"</w:t>
      </w:r>
    </w:p>
    <w:p>
      <w:pPr>
        <w:pStyle w:val="0"/>
        <w:ind w:firstLine="540"/>
        <w:jc w:val="both"/>
      </w:pPr>
      <w:r>
        <w:rPr>
          <w:sz w:val="20"/>
        </w:rPr>
      </w:r>
    </w:p>
    <w:bookmarkStart w:id="683" w:name="P683"/>
    <w:bookmarkEnd w:id="683"/>
    <w:p>
      <w:pPr>
        <w:pStyle w:val="2"/>
        <w:jc w:val="center"/>
      </w:pPr>
      <w:r>
        <w:rPr>
          <w:sz w:val="20"/>
        </w:rPr>
        <w:t xml:space="preserve">ПОРЯДОК</w:t>
      </w:r>
    </w:p>
    <w:p>
      <w:pPr>
        <w:pStyle w:val="2"/>
        <w:jc w:val="center"/>
      </w:pPr>
      <w:r>
        <w:rPr>
          <w:sz w:val="20"/>
        </w:rPr>
        <w:t xml:space="preserve">предоставления и распределения грантов в форме субсидий</w:t>
      </w:r>
    </w:p>
    <w:p>
      <w:pPr>
        <w:pStyle w:val="2"/>
        <w:jc w:val="center"/>
      </w:pPr>
      <w:r>
        <w:rPr>
          <w:sz w:val="20"/>
        </w:rPr>
        <w:t xml:space="preserve">из областного бюджета Новосибирской области бюджетам</w:t>
      </w:r>
    </w:p>
    <w:p>
      <w:pPr>
        <w:pStyle w:val="2"/>
        <w:jc w:val="center"/>
      </w:pPr>
      <w:r>
        <w:rPr>
          <w:sz w:val="20"/>
        </w:rPr>
        <w:t xml:space="preserve">муниципальных округов и поселений Новосибирской области</w:t>
      </w:r>
    </w:p>
    <w:p>
      <w:pPr>
        <w:pStyle w:val="2"/>
        <w:jc w:val="center"/>
      </w:pPr>
      <w:r>
        <w:rPr>
          <w:sz w:val="20"/>
        </w:rPr>
        <w:t xml:space="preserve">на реализацию социально значимых проектов в сфере</w:t>
      </w:r>
    </w:p>
    <w:p>
      <w:pPr>
        <w:pStyle w:val="2"/>
        <w:jc w:val="center"/>
      </w:pPr>
      <w:r>
        <w:rPr>
          <w:sz w:val="20"/>
        </w:rPr>
        <w:t xml:space="preserve">развития общественной инфраструктуры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 </w:t>
            </w:r>
            <w:hyperlink w:history="0" r:id="rId186"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color w:val="392c69"/>
              </w:rPr>
              <w:t xml:space="preserve"> Правительства Новосибирской области</w:t>
            </w:r>
          </w:p>
          <w:p>
            <w:pPr>
              <w:pStyle w:val="0"/>
              <w:jc w:val="center"/>
            </w:pPr>
            <w:r>
              <w:rPr>
                <w:sz w:val="20"/>
                <w:color w:val="392c69"/>
              </w:rPr>
              <w:t xml:space="preserve">от 04.08.2020 N 320-п;</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23.03.2021 </w:t>
            </w:r>
            <w:hyperlink w:history="0" r:id="rId187"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color w:val="392c69"/>
              </w:rPr>
              <w:t xml:space="preserve">, от 01.06.2021 </w:t>
            </w:r>
            <w:hyperlink w:history="0" r:id="rId188"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N 194-п</w:t>
              </w:r>
            </w:hyperlink>
            <w:r>
              <w:rPr>
                <w:sz w:val="20"/>
                <w:color w:val="392c69"/>
              </w:rPr>
              <w:t xml:space="preserve">, от 17.11.2021 </w:t>
            </w:r>
            <w:hyperlink w:history="0" r:id="rId189"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N 464-п</w:t>
              </w:r>
            </w:hyperlink>
            <w:r>
              <w:rPr>
                <w:sz w:val="20"/>
                <w:color w:val="392c69"/>
              </w:rPr>
              <w:t xml:space="preserve">,</w:t>
            </w:r>
          </w:p>
          <w:p>
            <w:pPr>
              <w:pStyle w:val="0"/>
              <w:jc w:val="center"/>
            </w:pPr>
            <w:r>
              <w:rPr>
                <w:sz w:val="20"/>
                <w:color w:val="392c69"/>
              </w:rPr>
              <w:t xml:space="preserve">от 29.03.2022 </w:t>
            </w:r>
            <w:hyperlink w:history="0" r:id="rId190" w:tooltip="Постановление Правительства Новосибирской области от 29.03.2022 N 122-п &quot;О внесении изменений в постановление Правительства Новосибирской области от 26.12.2018 N 570-п&quot; {КонсультантПлюс}">
              <w:r>
                <w:rPr>
                  <w:sz w:val="20"/>
                  <w:color w:val="0000ff"/>
                </w:rPr>
                <w:t xml:space="preserve">N 122-п</w:t>
              </w:r>
            </w:hyperlink>
            <w:r>
              <w:rPr>
                <w:sz w:val="20"/>
                <w:color w:val="392c69"/>
              </w:rPr>
              <w:t xml:space="preserve">, от 01.11.2022 </w:t>
            </w:r>
            <w:hyperlink w:history="0" r:id="rId191" w:tooltip="Постановление Правительства Новосибирской области от 01.11.2022 N 507-п &quot;О внесении изменений в постановление Правительства Новосибирской области от 26.12.2018 N 570-п&quot; {КонсультантПлюс}">
              <w:r>
                <w:rPr>
                  <w:sz w:val="20"/>
                  <w:color w:val="0000ff"/>
                </w:rPr>
                <w:t xml:space="preserve">N 507-п</w:t>
              </w:r>
            </w:hyperlink>
            <w:r>
              <w:rPr>
                <w:sz w:val="20"/>
                <w:color w:val="392c69"/>
              </w:rPr>
              <w:t xml:space="preserve">, от 14.02.2023 </w:t>
            </w:r>
            <w:hyperlink w:history="0" r:id="rId192"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N 30-п</w:t>
              </w:r>
            </w:hyperlink>
            <w:r>
              <w:rPr>
                <w:sz w:val="20"/>
                <w:color w:val="392c69"/>
              </w:rPr>
              <w:t xml:space="preserve">,</w:t>
            </w:r>
          </w:p>
          <w:p>
            <w:pPr>
              <w:pStyle w:val="0"/>
              <w:jc w:val="center"/>
            </w:pPr>
            <w:r>
              <w:rPr>
                <w:sz w:val="20"/>
                <w:color w:val="392c69"/>
              </w:rPr>
              <w:t xml:space="preserve">от 28.11.2023 </w:t>
            </w:r>
            <w:hyperlink w:history="0" r:id="rId193"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color w:val="392c69"/>
              </w:rPr>
              <w:t xml:space="preserve">, от 17.12.2024 </w:t>
            </w:r>
            <w:hyperlink w:history="0" r:id="rId194"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Настоящий Порядок определяет цели и условия предоставления и распределения грантов в форме субсидий (далее - субсидии) из областного бюджета Новосибирской области бюджетам муниципальных округов и поселений Новосибирской области (далее соответственно - муниципальный округ, поселение, совместно - муниципальные образования) на реализацию социально значимых проектов в сфере развития общественной инфраструктуры (далее - социально значимые проекты) в рамках мероприятий по содействию развития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p>
      <w:pPr>
        <w:pStyle w:val="0"/>
        <w:jc w:val="both"/>
      </w:pPr>
      <w:r>
        <w:rPr>
          <w:sz w:val="20"/>
        </w:rPr>
        <w:t xml:space="preserve">(в ред. постановлений Правительства Новосибирской области от 28.11.2023 </w:t>
      </w:r>
      <w:hyperlink w:history="0" r:id="rId195"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19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2. Настоящий Порядок разработан в соответствии с </w:t>
      </w:r>
      <w:hyperlink w:history="0" r:id="rId197"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3 статьи 139</w:t>
        </w:r>
      </w:hyperlink>
      <w:r>
        <w:rPr>
          <w:sz w:val="20"/>
        </w:rPr>
        <w:t xml:space="preserve"> Бюджетного кодекса Российской Федерации, </w:t>
      </w:r>
      <w:hyperlink w:history="0" r:id="rId198" w:tooltip="Постановление Правительства Новосибирской области от 03.03.2020 N 40-п (ред. от 24.12.2024) &quot;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quot; (с изм. и доп., вступающими в силу с 01.01.2025) {КонсультантПлюс}">
        <w:r>
          <w:rPr>
            <w:sz w:val="20"/>
            <w:color w:val="0000ff"/>
          </w:rPr>
          <w:t xml:space="preserve">Правилами</w:t>
        </w:r>
      </w:hyperlink>
      <w:r>
        <w:rPr>
          <w:sz w:val="20"/>
        </w:rP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установленными постановлением Правительства Новосибирской области от 03.03.2020 N 40-п.</w:t>
      </w:r>
    </w:p>
    <w:p>
      <w:pPr>
        <w:pStyle w:val="0"/>
        <w:spacing w:before="200" w:line-rule="auto"/>
        <w:ind w:firstLine="540"/>
        <w:jc w:val="both"/>
      </w:pPr>
      <w:r>
        <w:rPr>
          <w:sz w:val="20"/>
        </w:rPr>
        <w:t xml:space="preserve">3. Субсидии предоставляются в целях:</w:t>
      </w:r>
    </w:p>
    <w:p>
      <w:pPr>
        <w:pStyle w:val="0"/>
        <w:spacing w:before="200" w:line-rule="auto"/>
        <w:ind w:firstLine="540"/>
        <w:jc w:val="both"/>
      </w:pPr>
      <w:r>
        <w:rPr>
          <w:sz w:val="20"/>
        </w:rPr>
        <w:t xml:space="preserve">1) содействия муниципальным округам и поселениям в решении наиболее актуальных социально значимых проблем, возникающих при решении вопросов местного значения;</w:t>
      </w:r>
    </w:p>
    <w:p>
      <w:pPr>
        <w:pStyle w:val="0"/>
        <w:jc w:val="both"/>
      </w:pPr>
      <w:r>
        <w:rPr>
          <w:sz w:val="20"/>
        </w:rPr>
        <w:t xml:space="preserve">(в ред. </w:t>
      </w:r>
      <w:hyperlink w:history="0" r:id="rId19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2) вовлечения граждан, проживающих на территории муниципального округа и поселения, в осуществление местного самоуправления на территории соответствующего муниципального образования Новосибирской области;</w:t>
      </w:r>
    </w:p>
    <w:p>
      <w:pPr>
        <w:pStyle w:val="0"/>
        <w:jc w:val="both"/>
      </w:pPr>
      <w:r>
        <w:rPr>
          <w:sz w:val="20"/>
        </w:rPr>
        <w:t xml:space="preserve">(в ред. </w:t>
      </w:r>
      <w:hyperlink w:history="0" r:id="rId20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3) повышения качества объектов общественной инфраструктуры в муниципальных округах и поселениях, не требующих капитальных вложений в объекты капитального строительства муниципальной собственности и приобретения объектов недвижимого имущества в муниципальную собственность;</w:t>
      </w:r>
    </w:p>
    <w:p>
      <w:pPr>
        <w:pStyle w:val="0"/>
        <w:jc w:val="both"/>
      </w:pPr>
      <w:r>
        <w:rPr>
          <w:sz w:val="20"/>
        </w:rPr>
        <w:t xml:space="preserve">(в ред. </w:t>
      </w:r>
      <w:hyperlink w:history="0" r:id="rId20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4) софинансирования социально значимых проектов, прошедших конкурсный отбор.</w:t>
      </w:r>
    </w:p>
    <w:p>
      <w:pPr>
        <w:pStyle w:val="0"/>
        <w:jc w:val="both"/>
      </w:pPr>
      <w:r>
        <w:rPr>
          <w:sz w:val="20"/>
        </w:rPr>
        <w:t xml:space="preserve">(пп. 4 в ред. </w:t>
      </w:r>
      <w:hyperlink w:history="0" r:id="rId20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4. Субсидии предоставляются в соответствии с законом Новосибирской области об областном бюджете Новосибирской области в пределах бюджетных ассигнований и лимитов бюджетных обязательств, установленных главному распорядителю бюджетных средств - министерству региональной политики Новосибирской области (далее соответственно - областной бюджет, министерство).</w:t>
      </w:r>
    </w:p>
    <w:p>
      <w:pPr>
        <w:pStyle w:val="0"/>
        <w:spacing w:before="200" w:line-rule="auto"/>
        <w:ind w:firstLine="540"/>
        <w:jc w:val="both"/>
      </w:pPr>
      <w:r>
        <w:rPr>
          <w:sz w:val="20"/>
        </w:rPr>
        <w:t xml:space="preserve">5. Субсидии предоставляются бюджетам муниципальных округов и поселений при выполнении следующих условий:</w:t>
      </w:r>
    </w:p>
    <w:p>
      <w:pPr>
        <w:pStyle w:val="0"/>
        <w:jc w:val="both"/>
      </w:pPr>
      <w:r>
        <w:rPr>
          <w:sz w:val="20"/>
        </w:rPr>
        <w:t xml:space="preserve">(в ред. </w:t>
      </w:r>
      <w:hyperlink w:history="0" r:id="rId20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 направление субсидий на:</w:t>
      </w:r>
    </w:p>
    <w:p>
      <w:pPr>
        <w:pStyle w:val="0"/>
        <w:spacing w:before="200" w:line-rule="auto"/>
        <w:ind w:firstLine="540"/>
        <w:jc w:val="both"/>
      </w:pPr>
      <w:r>
        <w:rPr>
          <w:sz w:val="20"/>
        </w:rPr>
        <w:t xml:space="preserve">а) создание условий для обеспечения жителей муниципальных округов и поселения услугами связи;</w:t>
      </w:r>
    </w:p>
    <w:p>
      <w:pPr>
        <w:pStyle w:val="0"/>
        <w:jc w:val="both"/>
      </w:pPr>
      <w:r>
        <w:rPr>
          <w:sz w:val="20"/>
        </w:rPr>
        <w:t xml:space="preserve">(в ред. </w:t>
      </w:r>
      <w:hyperlink w:history="0" r:id="rId204"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б) создание условий для организации досуга и обеспечения жителей муниципальных округов и поселения услугами организаций культуры;</w:t>
      </w:r>
    </w:p>
    <w:p>
      <w:pPr>
        <w:pStyle w:val="0"/>
        <w:jc w:val="both"/>
      </w:pPr>
      <w:r>
        <w:rPr>
          <w:sz w:val="20"/>
        </w:rPr>
        <w:t xml:space="preserve">(в ред. </w:t>
      </w:r>
      <w:hyperlink w:history="0" r:id="rId20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в) обеспечение условий для развития на территории муниципального округа 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pPr>
        <w:pStyle w:val="0"/>
        <w:jc w:val="both"/>
      </w:pPr>
      <w:r>
        <w:rPr>
          <w:sz w:val="20"/>
        </w:rPr>
        <w:t xml:space="preserve">(в ред. </w:t>
      </w:r>
      <w:hyperlink w:history="0" r:id="rId20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г) организацию благоустройства территории муниципального округа и поселения;</w:t>
      </w:r>
    </w:p>
    <w:p>
      <w:pPr>
        <w:pStyle w:val="0"/>
        <w:jc w:val="both"/>
      </w:pPr>
      <w:r>
        <w:rPr>
          <w:sz w:val="20"/>
        </w:rPr>
        <w:t xml:space="preserve">(в ред. </w:t>
      </w:r>
      <w:hyperlink w:history="0" r:id="rId20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д) создание условий для предоставления транспортных услуг населению и организацию транспортного обслуживания населения в границах муниципального округа и поселения;</w:t>
      </w:r>
    </w:p>
    <w:p>
      <w:pPr>
        <w:pStyle w:val="0"/>
        <w:jc w:val="both"/>
      </w:pPr>
      <w:r>
        <w:rPr>
          <w:sz w:val="20"/>
        </w:rPr>
        <w:t xml:space="preserve">(в ред. </w:t>
      </w:r>
      <w:hyperlink w:history="0" r:id="rId20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е) организацию в границах муниципального округа и поселения электро- и газоснабжения населения;</w:t>
      </w:r>
    </w:p>
    <w:p>
      <w:pPr>
        <w:pStyle w:val="0"/>
        <w:jc w:val="both"/>
      </w:pPr>
      <w:r>
        <w:rPr>
          <w:sz w:val="20"/>
        </w:rPr>
        <w:t xml:space="preserve">(в ред. </w:t>
      </w:r>
      <w:hyperlink w:history="0" r:id="rId20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ж) сохранение, использование и популяризацию объектов культурного наследия (памятников истории и культуры), находящихся в собственности муниципального образования, охрану объектов культурного наследия (памятников истории и культуры) местного (муниципального) значения, расположенных на территории муниципального округа и поселения;</w:t>
      </w:r>
    </w:p>
    <w:p>
      <w:pPr>
        <w:pStyle w:val="0"/>
        <w:jc w:val="both"/>
      </w:pPr>
      <w:r>
        <w:rPr>
          <w:sz w:val="20"/>
        </w:rPr>
        <w:t xml:space="preserve">(в ред. </w:t>
      </w:r>
      <w:hyperlink w:history="0" r:id="rId21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з) создание условий для массового отдыха жителей муниципального округа и поселения и организацию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(в ред. </w:t>
      </w:r>
      <w:hyperlink w:history="0" r:id="rId211"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и) организацию деятельности по сбору (в том числе раздельному сбору) и транспортированию твердых коммунальных отходов;</w:t>
      </w:r>
    </w:p>
    <w:p>
      <w:pPr>
        <w:pStyle w:val="0"/>
        <w:spacing w:before="200" w:line-rule="auto"/>
        <w:ind w:firstLine="540"/>
        <w:jc w:val="both"/>
      </w:pPr>
      <w:r>
        <w:rPr>
          <w:sz w:val="20"/>
        </w:rPr>
        <w:t xml:space="preserve">к) решение иных вопросов местного значения, направленных на развитие общественной инфраструктуры муниципального округа и поселения;</w:t>
      </w:r>
    </w:p>
    <w:p>
      <w:pPr>
        <w:pStyle w:val="0"/>
        <w:jc w:val="both"/>
      </w:pPr>
      <w:r>
        <w:rPr>
          <w:sz w:val="20"/>
        </w:rPr>
        <w:t xml:space="preserve">(в ред. </w:t>
      </w:r>
      <w:hyperlink w:history="0" r:id="rId212"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2) наличие правовых актов муниципальных округов и поселений,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w:t>
      </w:r>
    </w:p>
    <w:p>
      <w:pPr>
        <w:pStyle w:val="0"/>
        <w:jc w:val="both"/>
      </w:pPr>
      <w:r>
        <w:rPr>
          <w:sz w:val="20"/>
        </w:rPr>
        <w:t xml:space="preserve">(в ред. </w:t>
      </w:r>
      <w:hyperlink w:history="0" r:id="rId21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3) утратил силу. - </w:t>
      </w:r>
      <w:hyperlink w:history="0" r:id="rId214" w:tooltip="Постановление Правительства Новосибирской области от 14.02.2023 N 3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14.02.2023 N 30-п;</w:t>
      </w:r>
    </w:p>
    <w:p>
      <w:pPr>
        <w:pStyle w:val="0"/>
        <w:spacing w:before="200" w:line-rule="auto"/>
        <w:ind w:firstLine="540"/>
        <w:jc w:val="both"/>
      </w:pPr>
      <w:r>
        <w:rPr>
          <w:sz w:val="20"/>
        </w:rPr>
        <w:t xml:space="preserve">4) заключение на срок, соответствующий сроку распределения субсидий между местными бюджетами муниципальных округов и поселений, соглашений между министерством и администрациями муниципальных округов и поселений о предоставлении субсидий, предусматривающих обязательство муниципального округа и поселения по исполнению расходных обязательств, в целях софинансирования которых предоставляются субсидии, и ответственность за неисполнение предусмотренных указанными соглашениями обязательств, в соответствии с типовой формой, утверждаемой министерством финансов и налоговой политики Новосибирской области;</w:t>
      </w:r>
    </w:p>
    <w:p>
      <w:pPr>
        <w:pStyle w:val="0"/>
        <w:jc w:val="both"/>
      </w:pPr>
      <w:r>
        <w:rPr>
          <w:sz w:val="20"/>
        </w:rPr>
        <w:t xml:space="preserve">(в ред. </w:t>
      </w:r>
      <w:hyperlink w:history="0" r:id="rId21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5)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w:history="0" r:id="rId216" w:tooltip="Постановление Правительства Новосибирской области от 30.12.2013 N 597-п (ред. от 27.12.2024) &quot;О наделении полномочиями государственного казенного учреждения Новосибирской области &quot;Управление контрактной системы&quot; (с изм. и доп., вступающими в силу с 01.01.2025) {КонсультантПлюс}">
        <w:r>
          <w:rPr>
            <w:sz w:val="20"/>
            <w:color w:val="0000ff"/>
          </w:rPr>
          <w:t xml:space="preserve">пунктом 1</w:t>
        </w:r>
      </w:hyperlink>
      <w:r>
        <w:rPr>
          <w:sz w:val="20"/>
        </w:rPr>
        <w:t xml:space="preserve"> и </w:t>
      </w:r>
      <w:hyperlink w:history="0" r:id="rId217" w:tooltip="Постановление Правительства Новосибирской области от 30.12.2013 N 597-п (ред. от 27.12.2024) &quot;О наделении полномочиями государственного казенного учреждения Новосибирской области &quot;Управление контрактной системы&quot; (с изм. и доп., вступающими в силу с 01.01.2025) {КонсультантПлюс}">
        <w:r>
          <w:rPr>
            <w:sz w:val="20"/>
            <w:color w:val="0000ff"/>
          </w:rPr>
          <w:t xml:space="preserve">подпунктом 2 пункта 4</w:t>
        </w:r>
      </w:hyperlink>
      <w:r>
        <w:rPr>
          <w:sz w:val="20"/>
        </w:rP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pPr>
        <w:pStyle w:val="0"/>
        <w:jc w:val="both"/>
      </w:pPr>
      <w:r>
        <w:rPr>
          <w:sz w:val="20"/>
        </w:rPr>
        <w:t xml:space="preserve">(пп. 5 введен </w:t>
      </w:r>
      <w:hyperlink w:history="0" r:id="rId218"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w:t>
      </w:r>
    </w:p>
    <w:p>
      <w:pPr>
        <w:pStyle w:val="0"/>
        <w:spacing w:before="200" w:line-rule="auto"/>
        <w:ind w:firstLine="540"/>
        <w:jc w:val="both"/>
      </w:pPr>
      <w:r>
        <w:rPr>
          <w:sz w:val="20"/>
        </w:rPr>
        <w:t xml:space="preserve">6)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обязательствам перед поселением (за исключением случаев, установленных местной администрацией поселения).</w:t>
      </w:r>
    </w:p>
    <w:p>
      <w:pPr>
        <w:pStyle w:val="0"/>
        <w:jc w:val="both"/>
      </w:pPr>
      <w:r>
        <w:rPr>
          <w:sz w:val="20"/>
        </w:rPr>
        <w:t xml:space="preserve">(пп. 6 введен </w:t>
      </w:r>
      <w:hyperlink w:history="0" r:id="rId219"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w:t>
      </w:r>
    </w:p>
    <w:p>
      <w:pPr>
        <w:pStyle w:val="0"/>
        <w:spacing w:before="200" w:line-rule="auto"/>
        <w:ind w:firstLine="540"/>
        <w:jc w:val="both"/>
      </w:pPr>
      <w:r>
        <w:rPr>
          <w:sz w:val="20"/>
        </w:rPr>
        <w:t xml:space="preserve">6. Для отбора муниципальных округов и поселений для предоставления субсидий устанавливаются следующие критерии:</w:t>
      </w:r>
    </w:p>
    <w:p>
      <w:pPr>
        <w:pStyle w:val="0"/>
        <w:spacing w:before="200" w:line-rule="auto"/>
        <w:ind w:firstLine="540"/>
        <w:jc w:val="both"/>
      </w:pPr>
      <w:r>
        <w:rPr>
          <w:sz w:val="20"/>
        </w:rPr>
        <w:t xml:space="preserve">1) наличие у муниципальных округов и поселений социально значимых проектов (от поселения - не более одного социально значимого проекта; от муниципального округа - количество социально значимых проектов, не превышающее количества поселений, входивших в состав соответствующего муниципального округа);</w:t>
      </w:r>
    </w:p>
    <w:p>
      <w:pPr>
        <w:pStyle w:val="0"/>
        <w:spacing w:before="200" w:line-rule="auto"/>
        <w:ind w:firstLine="540"/>
        <w:jc w:val="both"/>
      </w:pPr>
      <w:r>
        <w:rPr>
          <w:sz w:val="20"/>
        </w:rPr>
        <w:t xml:space="preserve">2) включение муниципального округа и поселения в число победителей конкурсного отбора социально значимых проектов на основании результатов конкурсного отбора, проведенного в порядке, установленном приказом министерства.</w:t>
      </w:r>
    </w:p>
    <w:p>
      <w:pPr>
        <w:pStyle w:val="0"/>
        <w:jc w:val="both"/>
      </w:pPr>
      <w:r>
        <w:rPr>
          <w:sz w:val="20"/>
        </w:rPr>
        <w:t xml:space="preserve">(п. 6 в ред. </w:t>
      </w:r>
      <w:hyperlink w:history="0" r:id="rId22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6.1. В целях проведения конкурсного отбора социально значимых проектов министерство:</w:t>
      </w:r>
    </w:p>
    <w:p>
      <w:pPr>
        <w:pStyle w:val="0"/>
        <w:spacing w:before="200" w:line-rule="auto"/>
        <w:ind w:firstLine="540"/>
        <w:jc w:val="both"/>
      </w:pPr>
      <w:r>
        <w:rPr>
          <w:sz w:val="20"/>
        </w:rPr>
        <w:t xml:space="preserve">1) издает приказ,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дату начала подачи и окончания приема заявок на участие в конкурсном отборе (далее - заявка);</w:t>
      </w:r>
    </w:p>
    <w:p>
      <w:pPr>
        <w:pStyle w:val="0"/>
        <w:spacing w:before="200" w:line-rule="auto"/>
        <w:ind w:firstLine="540"/>
        <w:jc w:val="both"/>
      </w:pPr>
      <w:r>
        <w:rPr>
          <w:sz w:val="20"/>
        </w:rPr>
        <w:t xml:space="preserve">место подачи заявок;</w:t>
      </w:r>
    </w:p>
    <w:p>
      <w:pPr>
        <w:pStyle w:val="0"/>
        <w:spacing w:before="200" w:line-rule="auto"/>
        <w:ind w:firstLine="540"/>
        <w:jc w:val="both"/>
      </w:pPr>
      <w:r>
        <w:rPr>
          <w:sz w:val="20"/>
        </w:rPr>
        <w:t xml:space="preserve">сроки реализации социально значимых проектов;</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форму заявки;</w:t>
      </w:r>
    </w:p>
    <w:p>
      <w:pPr>
        <w:pStyle w:val="0"/>
        <w:spacing w:before="200" w:line-rule="auto"/>
        <w:ind w:firstLine="540"/>
        <w:jc w:val="both"/>
      </w:pPr>
      <w:r>
        <w:rPr>
          <w:sz w:val="20"/>
        </w:rPr>
        <w:t xml:space="preserve">состав конкурсной комиссии по проведению конкурсного отбора социально значимых проектов (далее - конкурсная комиссия);</w:t>
      </w:r>
    </w:p>
    <w:p>
      <w:pPr>
        <w:pStyle w:val="0"/>
        <w:spacing w:before="200" w:line-rule="auto"/>
        <w:ind w:firstLine="540"/>
        <w:jc w:val="both"/>
      </w:pPr>
      <w:r>
        <w:rPr>
          <w:sz w:val="20"/>
        </w:rPr>
        <w:t xml:space="preserve">состав экспертного совета по рассмотрению социально значимых проектов;</w:t>
      </w:r>
    </w:p>
    <w:p>
      <w:pPr>
        <w:pStyle w:val="0"/>
        <w:spacing w:before="200" w:line-rule="auto"/>
        <w:ind w:firstLine="540"/>
        <w:jc w:val="both"/>
      </w:pPr>
      <w:r>
        <w:rPr>
          <w:sz w:val="20"/>
        </w:rPr>
        <w:t xml:space="preserve">в) устанавливает предельный размер субсидий;</w:t>
      </w:r>
    </w:p>
    <w:p>
      <w:pPr>
        <w:pStyle w:val="0"/>
        <w:spacing w:before="200" w:line-rule="auto"/>
        <w:ind w:firstLine="540"/>
        <w:jc w:val="both"/>
      </w:pPr>
      <w:r>
        <w:rPr>
          <w:sz w:val="20"/>
        </w:rPr>
        <w:t xml:space="preserve">2) организует:</w:t>
      </w:r>
    </w:p>
    <w:p>
      <w:pPr>
        <w:pStyle w:val="0"/>
        <w:spacing w:before="200" w:line-rule="auto"/>
        <w:ind w:firstLine="540"/>
        <w:jc w:val="both"/>
      </w:pPr>
      <w:r>
        <w:rPr>
          <w:sz w:val="20"/>
        </w:rPr>
        <w:t xml:space="preserve">а) консультирование по вопросам участия в конкурсном отборе;</w:t>
      </w:r>
    </w:p>
    <w:p>
      <w:pPr>
        <w:pStyle w:val="0"/>
        <w:spacing w:before="200" w:line-rule="auto"/>
        <w:ind w:firstLine="540"/>
        <w:jc w:val="both"/>
      </w:pPr>
      <w:r>
        <w:rPr>
          <w:sz w:val="20"/>
        </w:rPr>
        <w:t xml:space="preserve">б) прием, регистрацию, хранение и передачу на рассмотрение экспертного совета и конкурсной комиссии заявок на участие в конкурсном отборе.</w:t>
      </w:r>
    </w:p>
    <w:p>
      <w:pPr>
        <w:pStyle w:val="0"/>
        <w:jc w:val="both"/>
      </w:pPr>
      <w:r>
        <w:rPr>
          <w:sz w:val="20"/>
        </w:rPr>
        <w:t xml:space="preserve">(п. 6.1 введен </w:t>
      </w:r>
      <w:hyperlink w:history="0" r:id="rId22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7. Субсидии из областного бюджета Новосибирской области бюджетам муниципальных округов и поселений на реализацию социально значимых проектов предоставляются по результатам конкурсного отбора социально значимых проектов на основании протокола конкурсной комиссии. В случае если запрашиваемый суммарный объем субсидии всех заявок, поступивших от муниципальных округов и поселений Новосибирской области на реализацию социально значимых проектов в текущем году, превышает предельный объем бюджетных ассигнований и лимитов бюджетных обязательств, установленных на реализацию социально значимых проектов, приоритет отдается муниципальным округам и поселениям Новосибирской области, проекты которых рассчитаны на наибольшую долю жителей - благополучателей социально значимых проектов.</w:t>
      </w:r>
    </w:p>
    <w:p>
      <w:pPr>
        <w:pStyle w:val="0"/>
        <w:jc w:val="both"/>
      </w:pPr>
      <w:r>
        <w:rPr>
          <w:sz w:val="20"/>
        </w:rPr>
        <w:t xml:space="preserve">(в ред. постановлений Правительства Новосибирской области от 28.11.2023 </w:t>
      </w:r>
      <w:hyperlink w:history="0" r:id="rId222"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22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Расчет размера субсидии из областного бюджета Новосибирской области, предоставляемой i-му муниципальному округу и поселению Новосибирской области на реализацию i-го социально значимого проекта, осуществляется по формуле:</w:t>
      </w:r>
    </w:p>
    <w:p>
      <w:pPr>
        <w:pStyle w:val="0"/>
        <w:jc w:val="both"/>
      </w:pPr>
      <w:r>
        <w:rPr>
          <w:sz w:val="20"/>
        </w:rPr>
        <w:t xml:space="preserve">(в ред. постановлений Правительства Новосибирской области от 28.11.2023 </w:t>
      </w:r>
      <w:hyperlink w:history="0" r:id="rId224"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225"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ind w:firstLine="540"/>
        <w:jc w:val="both"/>
      </w:pPr>
      <w:r>
        <w:rPr>
          <w:sz w:val="20"/>
        </w:rPr>
      </w:r>
    </w:p>
    <w:p>
      <w:pPr>
        <w:pStyle w:val="0"/>
        <w:jc w:val="center"/>
      </w:pPr>
      <w:r>
        <w:rPr>
          <w:position w:val="-20"/>
        </w:rPr>
        <w:drawing>
          <wp:inline distT="0" distB="0" distL="0" distR="0">
            <wp:extent cx="1895475" cy="3905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26">
                      <a:extLst>
                        <a:ext uri="{28A0092B-C50C-407E-A947-70E740481C1C}">
                          <a14:useLocalDpi xmlns:a14="http://schemas.microsoft.com/office/drawing/2010/main" val="0"/>
                        </a:ext>
                      </a:extLst>
                    </a:blip>
                    <a:srcRect/>
                    <a:stretch>
                      <a:fillRect/>
                    </a:stretch>
                  </pic:blipFill>
                  <pic:spPr bwMode="auto">
                    <a:xfrm>
                      <a:off x="0" y="0"/>
                      <a:ext cx="1895475" cy="390525"/>
                    </a:xfrm>
                    <a:prstGeom prst="rect">
                      <a:avLst/>
                    </a:prstGeom>
                    <a:noFill/>
                    <a:ln>
                      <a:noFill/>
                    </a:ln>
                  </pic:spPr>
                </pic:pic>
              </a:graphicData>
            </a:graphic>
          </wp:inline>
        </w:drawing>
      </w:r>
    </w:p>
    <w:p>
      <w:pPr>
        <w:pStyle w:val="0"/>
        <w:ind w:firstLine="540"/>
        <w:jc w:val="both"/>
      </w:pPr>
      <w:r>
        <w:rPr>
          <w:sz w:val="20"/>
        </w:rPr>
      </w:r>
    </w:p>
    <w:p>
      <w:pPr>
        <w:pStyle w:val="0"/>
        <w:ind w:firstLine="540"/>
        <w:jc w:val="both"/>
      </w:pPr>
      <w:r>
        <w:rPr>
          <w:sz w:val="20"/>
        </w:rPr>
        <w:t xml:space="preserve">Соблi - размер субсидии из областного бюджета Новосибирской области, предоставляемой на реализацию i-го социально значимого проекта;</w:t>
      </w:r>
    </w:p>
    <w:p>
      <w:pPr>
        <w:pStyle w:val="0"/>
        <w:jc w:val="both"/>
      </w:pPr>
      <w:r>
        <w:rPr>
          <w:sz w:val="20"/>
        </w:rPr>
        <w:t xml:space="preserve">(в ред. </w:t>
      </w:r>
      <w:hyperlink w:history="0" r:id="rId22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УОмбi - уровень (доля) софинансирования Новосибирской областью объема расходных обязательств i-го муниципального округа и i-го поселения Новосибирской области (далее - уровень софинансирования) в соответствии с поданной заявкой i-го муниципального округа и i-го поселения Новосибирской области. При этом уровень софинансирования не может быть выше предельного уровня софинансирования, установленного распоряжением Правительства Новосибирской области;</w:t>
      </w:r>
    </w:p>
    <w:p>
      <w:pPr>
        <w:pStyle w:val="0"/>
        <w:jc w:val="both"/>
      </w:pPr>
      <w:r>
        <w:rPr>
          <w:sz w:val="20"/>
        </w:rPr>
        <w:t xml:space="preserve">(в ред. постановлений Правительства Новосибирской области от 23.03.2021 </w:t>
      </w:r>
      <w:hyperlink w:history="0" r:id="rId228" w:tooltip="Постановление Правительства Новосибирской области от 23.03.2021 N 74-п &quot;О внесении изменений в постановление Правительства Новосибирской области от 26.12.2018 N 570-п&quot; {КонсультантПлюс}">
        <w:r>
          <w:rPr>
            <w:sz w:val="20"/>
            <w:color w:val="0000ff"/>
          </w:rPr>
          <w:t xml:space="preserve">N 74-п</w:t>
        </w:r>
      </w:hyperlink>
      <w:r>
        <w:rPr>
          <w:sz w:val="20"/>
        </w:rPr>
        <w:t xml:space="preserve">, от 17.12.2024 </w:t>
      </w:r>
      <w:hyperlink w:history="0" r:id="rId22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Псзпi - общий объем финансирования i-го социально значимого проекта за счет средств всех бюджетов в соответствии с поданной заявкой.</w:t>
      </w:r>
    </w:p>
    <w:p>
      <w:pPr>
        <w:pStyle w:val="0"/>
        <w:jc w:val="both"/>
      </w:pPr>
      <w:r>
        <w:rPr>
          <w:sz w:val="20"/>
        </w:rPr>
        <w:t xml:space="preserve">(в ред. </w:t>
      </w:r>
      <w:hyperlink w:history="0" r:id="rId230"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Абзац утратил силу. - </w:t>
      </w:r>
      <w:hyperlink w:history="0" r:id="rId231"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28.11.2023 N 543-п.</w:t>
      </w:r>
    </w:p>
    <w:p>
      <w:pPr>
        <w:pStyle w:val="0"/>
        <w:spacing w:before="200" w:line-rule="auto"/>
        <w:ind w:firstLine="540"/>
        <w:jc w:val="both"/>
      </w:pPr>
      <w:r>
        <w:rPr>
          <w:sz w:val="20"/>
        </w:rPr>
        <w:t xml:space="preserve">Размер субсидии бюджетам муниципальных округов и поселений Новосибирской области утверждается законом об областном бюджете.</w:t>
      </w:r>
    </w:p>
    <w:p>
      <w:pPr>
        <w:pStyle w:val="0"/>
        <w:jc w:val="both"/>
      </w:pPr>
      <w:r>
        <w:rPr>
          <w:sz w:val="20"/>
        </w:rPr>
        <w:t xml:space="preserve">(в ред. </w:t>
      </w:r>
      <w:hyperlink w:history="0" r:id="rId232"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7.1. Средства субсидии могут быть направлены на предоставление из местного бюджета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в рамках установленных направлений расходования субсидий, с заключением соответствующих соглашений.</w:t>
      </w:r>
    </w:p>
    <w:p>
      <w:pPr>
        <w:pStyle w:val="0"/>
        <w:spacing w:before="200" w:line-rule="auto"/>
        <w:ind w:firstLine="540"/>
        <w:jc w:val="both"/>
      </w:pPr>
      <w:r>
        <w:rPr>
          <w:sz w:val="20"/>
        </w:rPr>
        <w:t xml:space="preserve">В указанные соглашения включаются условия (обязательства сторон), установление которых обеспечивает исполнение администрацией муниципального округа и поселения требований целевого использования средств субсидии и соблюдение иных обязательств в рамках соглашения, а также прочие условия, предусмотренные Порядком.</w:t>
      </w:r>
    </w:p>
    <w:p>
      <w:pPr>
        <w:pStyle w:val="0"/>
        <w:jc w:val="both"/>
      </w:pPr>
      <w:r>
        <w:rPr>
          <w:sz w:val="20"/>
        </w:rPr>
        <w:t xml:space="preserve">(в ред. </w:t>
      </w:r>
      <w:hyperlink w:history="0" r:id="rId233"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jc w:val="both"/>
      </w:pPr>
      <w:r>
        <w:rPr>
          <w:sz w:val="20"/>
        </w:rPr>
        <w:t xml:space="preserve">(п. 7.1 в ред. </w:t>
      </w:r>
      <w:hyperlink w:history="0" r:id="rId234" w:tooltip="Постановление Правительства Новосибирской области от 29.03.2022 N 122-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29.03.2022 N 122-п)</w:t>
      </w:r>
    </w:p>
    <w:p>
      <w:pPr>
        <w:pStyle w:val="0"/>
        <w:spacing w:before="200" w:line-rule="auto"/>
        <w:ind w:firstLine="540"/>
        <w:jc w:val="both"/>
      </w:pPr>
      <w:r>
        <w:rPr>
          <w:sz w:val="20"/>
        </w:rPr>
        <w:t xml:space="preserve">8. Результатом использования субсидии, учитываемым при оценке эффективности ее использования, является количество реализованных муниципальными округами и поселениями, получившими государственную поддержку в виде субсидии, социально значимых проектов.</w:t>
      </w:r>
    </w:p>
    <w:p>
      <w:pPr>
        <w:pStyle w:val="0"/>
        <w:jc w:val="both"/>
      </w:pPr>
      <w:r>
        <w:rPr>
          <w:sz w:val="20"/>
        </w:rPr>
        <w:t xml:space="preserve">(в ред. постановлений Правительства Новосибирской области от 28.11.2023 </w:t>
      </w:r>
      <w:hyperlink w:history="0" r:id="rId235"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23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9. Порядок оценки эффективности использования субсидии устанавливается в соглашении о предоставлении субсидии.</w:t>
      </w:r>
    </w:p>
    <w:p>
      <w:pPr>
        <w:pStyle w:val="0"/>
        <w:spacing w:before="200" w:line-rule="auto"/>
        <w:ind w:firstLine="540"/>
        <w:jc w:val="both"/>
      </w:pPr>
      <w:r>
        <w:rPr>
          <w:sz w:val="20"/>
        </w:rPr>
        <w:t xml:space="preserve">10. В случае установления министерством факта нецелевого использования субсидии она подлежит возврату в доход областного бюджета в сумме средств, использованных не по целевому назначению, в порядке, установленном соглашением о предоставлении субсидии.</w:t>
      </w:r>
    </w:p>
    <w:p>
      <w:pPr>
        <w:pStyle w:val="0"/>
        <w:spacing w:before="200" w:line-rule="auto"/>
        <w:ind w:firstLine="540"/>
        <w:jc w:val="both"/>
      </w:pPr>
      <w:r>
        <w:rPr>
          <w:sz w:val="20"/>
        </w:rPr>
        <w:t xml:space="preserve">В случае установления органом государственного финансового контроля факта нецелевого использования субсидии к муниципальному округу и поселению применяются бюджетные меры принуждения в порядке, предусмотренном бюджетным законодательством Российской Федерации и нормативными правовыми актами, регулирующими бюджетные правоотношения.</w:t>
      </w:r>
    </w:p>
    <w:p>
      <w:pPr>
        <w:pStyle w:val="0"/>
        <w:jc w:val="both"/>
      </w:pPr>
      <w:r>
        <w:rPr>
          <w:sz w:val="20"/>
        </w:rPr>
        <w:t xml:space="preserve">(в ред. </w:t>
      </w:r>
      <w:hyperlink w:history="0" r:id="rId23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11. В случае недостижения муниципальным округом и поселением результатов использования субсидии, а также в случае несоблюдения муниципальным округом и поселением уровня долевого финансирования расходных обязательств, финансовое обеспечение которых может осуществляться за счет средств субсидии, субсидия подлежит возврату в областной бюджет в порядке, определенном Правилами.</w:t>
      </w:r>
    </w:p>
    <w:p>
      <w:pPr>
        <w:pStyle w:val="0"/>
        <w:jc w:val="both"/>
      </w:pPr>
      <w:r>
        <w:rPr>
          <w:sz w:val="20"/>
        </w:rPr>
        <w:t xml:space="preserve">(в ред. </w:t>
      </w:r>
      <w:hyperlink w:history="0" r:id="rId23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12. В случае преобразования муниципального образования реализация социально значимого проекта осуществляется органом местного самоуправления, являющимся правопреемником органа местного самоуправления преобразованного муниципального образования.</w:t>
      </w:r>
    </w:p>
    <w:p>
      <w:pPr>
        <w:pStyle w:val="0"/>
        <w:jc w:val="both"/>
      </w:pPr>
      <w:r>
        <w:rPr>
          <w:sz w:val="20"/>
        </w:rPr>
        <w:t xml:space="preserve">(п. 12 введен </w:t>
      </w:r>
      <w:hyperlink w:history="0" r:id="rId23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13. Установить, что при преобразовании муниципального образования Новосибирской области, объявленного победителем конкурсного отбора на реализацию социально значимых проектов в сфере развития общественной инфраструктуры, путем объединения муниципального района Новосибирской области и поселений Новосибирской области, входящих в его состав, в муниципальный округ Новосибирской области заключение соглашений о предоставлении из областного бюджета Новосибирской области бюджету участника конкурсного отбора субсидии на реализацию инициативных проектов и (или) реализация инициативного проекта осуществляется вновь образованным муниципальным округом Новосибирской области.</w:t>
      </w:r>
    </w:p>
    <w:p>
      <w:pPr>
        <w:pStyle w:val="0"/>
        <w:jc w:val="both"/>
      </w:pPr>
      <w:r>
        <w:rPr>
          <w:sz w:val="20"/>
        </w:rPr>
        <w:t xml:space="preserve">(п. 13 введен </w:t>
      </w:r>
      <w:hyperlink w:history="0" r:id="rId24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17.12.2024 N 586-п)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1</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802" w:name="P802"/>
    <w:bookmarkEnd w:id="802"/>
    <w:p>
      <w:pPr>
        <w:pStyle w:val="2"/>
        <w:jc w:val="center"/>
      </w:pPr>
      <w:r>
        <w:rPr>
          <w:sz w:val="20"/>
        </w:rPr>
        <w:t xml:space="preserve">ПОРЯДОК</w:t>
      </w:r>
    </w:p>
    <w:p>
      <w:pPr>
        <w:pStyle w:val="2"/>
        <w:jc w:val="center"/>
      </w:pPr>
      <w:r>
        <w:rPr>
          <w:sz w:val="20"/>
        </w:rPr>
        <w:t xml:space="preserve">ФИНАНСИРОВАНИЯ МЕРОПРИЯТИЙ, ПРЕДУСМОТРЕННЫХ ГОСУДАРСТВЕННОЙ</w:t>
      </w:r>
    </w:p>
    <w:p>
      <w:pPr>
        <w:pStyle w:val="2"/>
        <w:jc w:val="center"/>
      </w:pPr>
      <w:r>
        <w:rPr>
          <w:sz w:val="20"/>
        </w:rPr>
        <w:t xml:space="preserve">ПРОГРАММОЙ НОВОСИБИРСКОЙ ОБЛАСТИ "РАЗВИТИЕ ИНСТИТУТОВ</w:t>
      </w:r>
    </w:p>
    <w:p>
      <w:pPr>
        <w:pStyle w:val="2"/>
        <w:jc w:val="center"/>
      </w:pPr>
      <w:r>
        <w:rPr>
          <w:sz w:val="20"/>
        </w:rPr>
        <w:t xml:space="preserve">РЕГИОНАЛЬНОЙ ПОЛИТИКИ И ГРАЖДАНСКОГО</w:t>
      </w:r>
    </w:p>
    <w:p>
      <w:pPr>
        <w:pStyle w:val="2"/>
        <w:jc w:val="center"/>
      </w:pPr>
      <w:r>
        <w:rPr>
          <w:sz w:val="20"/>
        </w:rPr>
        <w:t xml:space="preserve">ОБЩЕСТВА В НОВОСИБИРСКОЙ ОБЛАСТИ"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26.08.2019 </w:t>
            </w:r>
            <w:hyperlink w:history="0" r:id="rId241" w:tooltip="Постановление Правительства Новосибирской области от 26.08.2019 N 342-п &quot;О внесении изменений в постановление Правительства Новосибирской области от 26.12.2018 N 570-п&quot; {КонсультантПлюс}">
              <w:r>
                <w:rPr>
                  <w:sz w:val="20"/>
                  <w:color w:val="0000ff"/>
                </w:rPr>
                <w:t xml:space="preserve">N 342-п</w:t>
              </w:r>
            </w:hyperlink>
            <w:r>
              <w:rPr>
                <w:sz w:val="20"/>
                <w:color w:val="392c69"/>
              </w:rPr>
              <w:t xml:space="preserve">, от 24.12.2019 </w:t>
            </w:r>
            <w:hyperlink w:history="0" r:id="rId242" w:tooltip="Постановление Правительства Новосибирской области от 24.12.2019 N 494-п &quot;О внесении изменений в постановление Правительства Новосибирской области от 26.12.2018 N 570-п&quot; {КонсультантПлюс}">
              <w:r>
                <w:rPr>
                  <w:sz w:val="20"/>
                  <w:color w:val="0000ff"/>
                </w:rPr>
                <w:t xml:space="preserve">N 494-п</w:t>
              </w:r>
            </w:hyperlink>
            <w:r>
              <w:rPr>
                <w:sz w:val="20"/>
                <w:color w:val="392c69"/>
              </w:rPr>
              <w:t xml:space="preserve">, от 04.08.2020 </w:t>
            </w:r>
            <w:hyperlink w:history="0" r:id="rId243"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N 320-п</w:t>
              </w:r>
            </w:hyperlink>
            <w:r>
              <w:rPr>
                <w:sz w:val="20"/>
                <w:color w:val="392c69"/>
              </w:rPr>
              <w:t xml:space="preserve">,</w:t>
            </w:r>
          </w:p>
          <w:p>
            <w:pPr>
              <w:pStyle w:val="0"/>
              <w:jc w:val="center"/>
            </w:pPr>
            <w:r>
              <w:rPr>
                <w:sz w:val="20"/>
                <w:color w:val="392c69"/>
              </w:rPr>
              <w:t xml:space="preserve">от 01.06.2021 </w:t>
            </w:r>
            <w:hyperlink w:history="0" r:id="rId244"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N 194-п</w:t>
              </w:r>
            </w:hyperlink>
            <w:r>
              <w:rPr>
                <w:sz w:val="20"/>
                <w:color w:val="392c69"/>
              </w:rPr>
              <w:t xml:space="preserve">, от 17.11.2021 </w:t>
            </w:r>
            <w:hyperlink w:history="0" r:id="rId245"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N 464-п</w:t>
              </w:r>
            </w:hyperlink>
            <w:r>
              <w:rPr>
                <w:sz w:val="20"/>
                <w:color w:val="392c69"/>
              </w:rPr>
              <w:t xml:space="preserve">, от 25.04.2023 </w:t>
            </w:r>
            <w:hyperlink w:history="0" r:id="rId246" w:tooltip="Постановление Правительства Новосибирской области от 25.04.2023 N 173-п &quot;О внесении изменений в постановление Правительства Новосибирской области от 26.12.2018 N 570-п&quot; {КонсультантПлюс}">
              <w:r>
                <w:rPr>
                  <w:sz w:val="20"/>
                  <w:color w:val="0000ff"/>
                </w:rPr>
                <w:t xml:space="preserve">N 173-п</w:t>
              </w:r>
            </w:hyperlink>
            <w:r>
              <w:rPr>
                <w:sz w:val="20"/>
                <w:color w:val="392c69"/>
              </w:rPr>
              <w:t xml:space="preserve">,</w:t>
            </w:r>
          </w:p>
          <w:p>
            <w:pPr>
              <w:pStyle w:val="0"/>
              <w:jc w:val="center"/>
            </w:pPr>
            <w:r>
              <w:rPr>
                <w:sz w:val="20"/>
                <w:color w:val="392c69"/>
              </w:rPr>
              <w:t xml:space="preserve">от 28.11.2023 </w:t>
            </w:r>
            <w:hyperlink w:history="0" r:id="rId247"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color w:val="392c69"/>
              </w:rPr>
              <w:t xml:space="preserve">, от 15.07.2024 </w:t>
            </w:r>
            <w:hyperlink w:history="0" r:id="rId248"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17.12.2024 </w:t>
            </w:r>
            <w:hyperlink w:history="0" r:id="rId249"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Настоящий Порядок регламентирует финансирование из областного бюджета Новосибирской области (далее - областной бюджет) мероприятий, предусмотренных государственной </w:t>
      </w:r>
      <w:hyperlink w:history="0" w:anchor="P81" w:tooltip="ГОСУДАРСТВЕННАЯ ПРОГРАММА">
        <w:r>
          <w:rPr>
            <w:sz w:val="20"/>
            <w:color w:val="0000ff"/>
          </w:rPr>
          <w:t xml:space="preserve">программой</w:t>
        </w:r>
      </w:hyperlink>
      <w:r>
        <w:rPr>
          <w:sz w:val="20"/>
        </w:rPr>
        <w:t xml:space="preserve"> Новосибирской области "Развитие институтов региональной политики и гражданского общества в Новосибирской области" (далее - государственная программа).</w:t>
      </w:r>
    </w:p>
    <w:p>
      <w:pPr>
        <w:pStyle w:val="0"/>
        <w:spacing w:before="200" w:line-rule="auto"/>
        <w:ind w:firstLine="540"/>
        <w:jc w:val="both"/>
      </w:pPr>
      <w:r>
        <w:rPr>
          <w:sz w:val="20"/>
        </w:rPr>
        <w:t xml:space="preserve">2. Финансирование мероприятий государственной программы производится в соответствии с Бюджетным </w:t>
      </w:r>
      <w:hyperlink w:history="0" r:id="rId250"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кодексом</w:t>
        </w:r>
      </w:hyperlink>
      <w:r>
        <w:rPr>
          <w:sz w:val="20"/>
        </w:rPr>
        <w:t xml:space="preserve"> Российской Федерации, Федеральным </w:t>
      </w:r>
      <w:hyperlink w:history="0" r:id="rId251"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 Недействующая редакция {КонсультантПлюс}">
        <w:r>
          <w:rPr>
            <w:sz w:val="20"/>
            <w:color w:val="0000ff"/>
          </w:rPr>
          <w:t xml:space="preserve">законом</w:t>
        </w:r>
      </w:hyperlink>
      <w:r>
        <w:rPr>
          <w:sz w:val="20"/>
        </w:rPr>
        <w:t xml:space="preserve"> от 05.04.2013 N 44-ФЗ "О контрактной системе в сфере закупок товаров, работ, услуг для обеспечения государственных и муниципальных нужд" в пределах объемов бюджетных ассигнований, предусмотренных на реализацию государственной программы законом Новосибирской области об областном бюджете Новосибирской области на текущий финансовый год и плановый период.</w:t>
      </w:r>
    </w:p>
    <w:p>
      <w:pPr>
        <w:pStyle w:val="0"/>
        <w:spacing w:before="200" w:line-rule="auto"/>
        <w:ind w:firstLine="540"/>
        <w:jc w:val="both"/>
      </w:pPr>
      <w:r>
        <w:rPr>
          <w:sz w:val="20"/>
        </w:rPr>
        <w:t xml:space="preserve">3. Финансирование мероприятий государственной программы осуществляется путем:</w:t>
      </w:r>
    </w:p>
    <w:p>
      <w:pPr>
        <w:pStyle w:val="0"/>
        <w:spacing w:before="200" w:line-rule="auto"/>
        <w:ind w:firstLine="540"/>
        <w:jc w:val="both"/>
      </w:pPr>
      <w:r>
        <w:rPr>
          <w:sz w:val="20"/>
        </w:rPr>
        <w:t xml:space="preserve">1) оплаты заключенных контрактов на организацию и проведение мероприятий государственной программы в соответствии с Федеральным </w:t>
      </w:r>
      <w:hyperlink w:history="0" r:id="rId252"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 Недействующая редакция {КонсультантПлюс}">
        <w:r>
          <w:rPr>
            <w:sz w:val="20"/>
            <w:color w:val="0000ff"/>
          </w:rPr>
          <w:t xml:space="preserve">законом</w:t>
        </w:r>
      </w:hyperlink>
      <w:r>
        <w:rPr>
          <w:sz w:val="20"/>
        </w:rPr>
        <w:t xml:space="preserve"> от 05.04.2013 N 44-ФЗ "О контрактной системе в сфере закупок товаров, работ, услуг для обеспечения государственных и муниципальных нужд";</w:t>
      </w:r>
    </w:p>
    <w:p>
      <w:pPr>
        <w:pStyle w:val="0"/>
        <w:spacing w:before="200" w:line-rule="auto"/>
        <w:ind w:firstLine="540"/>
        <w:jc w:val="both"/>
      </w:pPr>
      <w:r>
        <w:rPr>
          <w:sz w:val="20"/>
        </w:rPr>
        <w:t xml:space="preserve">2) составления, утверждения и ведения в порядке, определенном главным распорядителем бюджетных средств - министерством региональной политики Новосибирской области (далее - министерство), бюджетной сметы для казенного учреждения Новосибирской области;</w:t>
      </w:r>
    </w:p>
    <w:p>
      <w:pPr>
        <w:pStyle w:val="0"/>
        <w:spacing w:before="200" w:line-rule="auto"/>
        <w:ind w:firstLine="540"/>
        <w:jc w:val="both"/>
      </w:pPr>
      <w:r>
        <w:rPr>
          <w:sz w:val="20"/>
        </w:rPr>
        <w:t xml:space="preserve">3) предоставления субсидий в соответствии с </w:t>
      </w:r>
      <w:hyperlink w:history="0" r:id="rId253" w:tooltip="Постановление Правительства Новосибирской области от 14.10.2013 N 435-п (ред. от 05.09.2023) &quot;О субсидиях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quot; {КонсультантПлюс}">
        <w:r>
          <w:rPr>
            <w:sz w:val="20"/>
            <w:color w:val="0000ff"/>
          </w:rPr>
          <w:t xml:space="preserve">Порядком</w:t>
        </w:r>
      </w:hyperlink>
      <w:r>
        <w:rPr>
          <w:sz w:val="20"/>
        </w:rPr>
        <w:t xml:space="preserve"> предоставления из областного бюджета Новосибирской области субсидий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 установленным постановлением Правительства Новосибирской области от 14.10.2013 N 435-п "О субсидиях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w:t>
      </w:r>
    </w:p>
    <w:p>
      <w:pPr>
        <w:pStyle w:val="0"/>
        <w:jc w:val="both"/>
      </w:pPr>
      <w:r>
        <w:rPr>
          <w:sz w:val="20"/>
        </w:rPr>
        <w:t xml:space="preserve">(пп. 3 в ред. </w:t>
      </w:r>
      <w:hyperlink w:history="0" r:id="rId254" w:tooltip="Постановление Правительства Новосибирской области от 25.04.2023 N 17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25.04.2023 N 173-п)</w:t>
      </w:r>
    </w:p>
    <w:p>
      <w:pPr>
        <w:pStyle w:val="0"/>
        <w:spacing w:before="200" w:line-rule="auto"/>
        <w:ind w:firstLine="540"/>
        <w:jc w:val="both"/>
      </w:pPr>
      <w:r>
        <w:rPr>
          <w:sz w:val="20"/>
        </w:rPr>
        <w:t xml:space="preserve">4) предоставления субсидий на реализацию мероприятий муниципальных программ развития территориального общественного самоуправления в рамках мероприятий по содействию развития местного самоуправления государственной программы в соответствии с </w:t>
      </w:r>
      <w:hyperlink w:history="0" w:anchor="P411" w:tooltip="ПОРЯДОК">
        <w:r>
          <w:rPr>
            <w:sz w:val="20"/>
            <w:color w:val="0000ff"/>
          </w:rPr>
          <w:t xml:space="preserve">Порядком</w:t>
        </w:r>
      </w:hyperlink>
      <w:r>
        <w:rPr>
          <w:sz w:val="20"/>
        </w:rPr>
        <w:t xml:space="preserve"> предоставления и распределения субсидий из областного бюджета Новосибирской области бюджетам муниципальных районов, муниципальных и городских округов Новосибирской области на софинансирование мероприятий муниципальных программ развития территориального общественного самоуправления согласно приложению N 8 к государственной программе;</w:t>
      </w:r>
    </w:p>
    <w:p>
      <w:pPr>
        <w:pStyle w:val="0"/>
        <w:jc w:val="both"/>
      </w:pPr>
      <w:r>
        <w:rPr>
          <w:sz w:val="20"/>
        </w:rPr>
        <w:t xml:space="preserve">(в ред. постановлений Правительства Новосибирской области от 04.08.2020 </w:t>
      </w:r>
      <w:hyperlink w:history="0" r:id="rId255"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N 320-п</w:t>
        </w:r>
      </w:hyperlink>
      <w:r>
        <w:rPr>
          <w:sz w:val="20"/>
        </w:rPr>
        <w:t xml:space="preserve">, от 28.11.2023 </w:t>
      </w:r>
      <w:hyperlink w:history="0" r:id="rId256"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257"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4.1) предоставления грантов в форме субсидий на реализацию социально значимых проектов в сфере развития общественной инфраструктуры из областного бюджета Новосибирской области бюджетам муниципальных округов и муниципальных образований Новосибирской области в рамках мероприятий по содействию развития местного самоуправления государственной программы в соответствии с </w:t>
      </w:r>
      <w:hyperlink w:history="0" w:anchor="P683" w:tooltip="ПОРЯДОК">
        <w:r>
          <w:rPr>
            <w:sz w:val="20"/>
            <w:color w:val="0000ff"/>
          </w:rPr>
          <w:t xml:space="preserve">Порядком</w:t>
        </w:r>
      </w:hyperlink>
      <w:r>
        <w:rPr>
          <w:sz w:val="20"/>
        </w:rPr>
        <w:t xml:space="preserve"> предоставления и распределения грантов в форме субсидий из областного бюджета Новосибирской области бюджетам муниципальных округов и поселений Новосибирской области на реализацию социально значимых проектов в сфере развития общественной инфраструктуры согласно приложению N 9 к государственной программе;</w:t>
      </w:r>
    </w:p>
    <w:p>
      <w:pPr>
        <w:pStyle w:val="0"/>
        <w:jc w:val="both"/>
      </w:pPr>
      <w:r>
        <w:rPr>
          <w:sz w:val="20"/>
        </w:rPr>
        <w:t xml:space="preserve">(пп. 4.1 введен </w:t>
      </w:r>
      <w:hyperlink w:history="0" r:id="rId258"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04.08.2020 N 320-п; в ред. постановлений Правительства Новосибирской области от 28.11.2023 </w:t>
      </w:r>
      <w:hyperlink w:history="0" r:id="rId259" w:tooltip="Постановление Правительства Новосибирской области от 28.11.2023 N 543-п &quot;О внесении изменений в постановление Правительства Новосибирской области от 26.12.2018 N 570-п&quot; {КонсультантПлюс}">
        <w:r>
          <w:rPr>
            <w:sz w:val="20"/>
            <w:color w:val="0000ff"/>
          </w:rPr>
          <w:t xml:space="preserve">N 543-п</w:t>
        </w:r>
      </w:hyperlink>
      <w:r>
        <w:rPr>
          <w:sz w:val="20"/>
        </w:rPr>
        <w:t xml:space="preserve">, от 17.12.2024 </w:t>
      </w:r>
      <w:hyperlink w:history="0" r:id="rId260"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rPr>
        <w:t xml:space="preserve">)</w:t>
      </w:r>
    </w:p>
    <w:p>
      <w:pPr>
        <w:pStyle w:val="0"/>
        <w:spacing w:before="200" w:line-rule="auto"/>
        <w:ind w:firstLine="540"/>
        <w:jc w:val="both"/>
      </w:pPr>
      <w:r>
        <w:rPr>
          <w:sz w:val="20"/>
        </w:rPr>
        <w:t xml:space="preserve">5) утратил силу. - </w:t>
      </w:r>
      <w:hyperlink w:history="0" r:id="rId261"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01.06.2021 N 194-п;</w:t>
      </w:r>
    </w:p>
    <w:p>
      <w:pPr>
        <w:pStyle w:val="0"/>
        <w:spacing w:before="200" w:line-rule="auto"/>
        <w:ind w:firstLine="540"/>
        <w:jc w:val="both"/>
      </w:pPr>
      <w:r>
        <w:rPr>
          <w:sz w:val="20"/>
        </w:rPr>
        <w:t xml:space="preserve">6) предоставления субсидий из областного бюджета Новосибирской области на организацию и проведение поисковых работ по выявлению неизвестных воинских захоронений и непогребенных останков воинов, погибших при защите Отечества, социально ориентированным некоммерческим организациям по результатам конкурсного отбора согласно </w:t>
      </w:r>
      <w:hyperlink w:history="0" w:anchor="P887" w:tooltip="ПОРЯДОК">
        <w:r>
          <w:rPr>
            <w:sz w:val="20"/>
            <w:color w:val="0000ff"/>
          </w:rPr>
          <w:t xml:space="preserve">приложению N 4</w:t>
        </w:r>
      </w:hyperlink>
      <w:r>
        <w:rPr>
          <w:sz w:val="20"/>
        </w:rPr>
        <w:t xml:space="preserve"> к постановлению Правительства Новосибирской области об утверждении государственной программы;</w:t>
      </w:r>
    </w:p>
    <w:p>
      <w:pPr>
        <w:pStyle w:val="0"/>
        <w:spacing w:before="200" w:line-rule="auto"/>
        <w:ind w:firstLine="540"/>
        <w:jc w:val="both"/>
      </w:pPr>
      <w:r>
        <w:rPr>
          <w:sz w:val="20"/>
        </w:rPr>
        <w:t xml:space="preserve">7) предоставления грантов в форме субсидий из областного бюджета Новосибирской области социально ориентированным некоммерческим организациям на реализацию социально значимых проектов по результатам конкурсного отбора согласно </w:t>
      </w:r>
      <w:hyperlink w:history="0" w:anchor="P1182" w:tooltip="ПОРЯДОК">
        <w:r>
          <w:rPr>
            <w:sz w:val="20"/>
            <w:color w:val="0000ff"/>
          </w:rPr>
          <w:t xml:space="preserve">приложению N 5</w:t>
        </w:r>
      </w:hyperlink>
      <w:r>
        <w:rPr>
          <w:sz w:val="20"/>
        </w:rPr>
        <w:t xml:space="preserve"> к постановлению Правительства Новосибирской области об утверждении настоящей государственной программы;</w:t>
      </w:r>
    </w:p>
    <w:p>
      <w:pPr>
        <w:pStyle w:val="0"/>
        <w:spacing w:before="200" w:line-rule="auto"/>
        <w:ind w:firstLine="540"/>
        <w:jc w:val="both"/>
      </w:pPr>
      <w:r>
        <w:rPr>
          <w:sz w:val="20"/>
        </w:rPr>
        <w:t xml:space="preserve">8) предоставления грантов в форме субсидий из областного бюджета Новосибирской области ресурсным центрам муниципальных образований Новосибирской области на реализацию программ деятельности, направленных на развитие общественных инициатив и социально ориентированных некоммерческих организаций, по результатам конкурсного отбора согласно </w:t>
      </w:r>
      <w:hyperlink w:history="0" w:anchor="P1546" w:tooltip="ПОРЯДОК">
        <w:r>
          <w:rPr>
            <w:sz w:val="20"/>
            <w:color w:val="0000ff"/>
          </w:rPr>
          <w:t xml:space="preserve">приложению N 6</w:t>
        </w:r>
      </w:hyperlink>
      <w:r>
        <w:rPr>
          <w:sz w:val="20"/>
        </w:rPr>
        <w:t xml:space="preserve"> к постановлению Правительства Новосибирской области об утверждении государственной программы;</w:t>
      </w:r>
    </w:p>
    <w:p>
      <w:pPr>
        <w:pStyle w:val="0"/>
        <w:jc w:val="both"/>
      </w:pPr>
      <w:r>
        <w:rPr>
          <w:sz w:val="20"/>
        </w:rPr>
        <w:t xml:space="preserve">(в ред. </w:t>
      </w:r>
      <w:hyperlink w:history="0" r:id="rId262"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9) утратил силу. - </w:t>
      </w:r>
      <w:hyperlink w:history="0" r:id="rId263"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10) предоставления субсидий из областного бюджета Новосибирской области казачьим обществам на финансовое обеспечение затрат по проведению мероприятий в сфере развития российского казачества по результатам отбора путем запроса предложений согласно </w:t>
      </w:r>
      <w:hyperlink w:history="0" w:anchor="P1911" w:tooltip="ПОРЯДОК">
        <w:r>
          <w:rPr>
            <w:sz w:val="20"/>
            <w:color w:val="0000ff"/>
          </w:rPr>
          <w:t xml:space="preserve">приложению N 8</w:t>
        </w:r>
      </w:hyperlink>
      <w:r>
        <w:rPr>
          <w:sz w:val="20"/>
        </w:rPr>
        <w:t xml:space="preserve"> к постановлению Правительства Новосибирской области об утверждении государственной программы.</w:t>
      </w:r>
    </w:p>
    <w:p>
      <w:pPr>
        <w:pStyle w:val="0"/>
        <w:jc w:val="both"/>
      </w:pPr>
      <w:r>
        <w:rPr>
          <w:sz w:val="20"/>
        </w:rPr>
        <w:t xml:space="preserve">(пп. 10 введен </w:t>
      </w:r>
      <w:hyperlink w:history="0" r:id="rId264" w:tooltip="Постановление Правительства Новосибирской области от 17.11.2021 N 46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17.11.2021 N 464-п)</w:t>
      </w:r>
    </w:p>
    <w:p>
      <w:pPr>
        <w:pStyle w:val="0"/>
        <w:spacing w:before="200" w:line-rule="auto"/>
        <w:ind w:firstLine="540"/>
        <w:jc w:val="both"/>
      </w:pPr>
      <w:r>
        <w:rPr>
          <w:sz w:val="20"/>
        </w:rPr>
        <w:t xml:space="preserve">4. Финансирование мероприятий государственной программы осуществляется согласно перечню и графику проведения данных мероприятий в соответствии со сводной бюджетной росписью областного бюджета Новосибирской области и порядком составления и ведения сводной бюджетной росписи областного бюджета, утверждаемыми министерством финансов и налоговой политики Новосибирской области, в пределах бюджетных ассигнований и лимитов бюджетных обязательств, установленных главным распорядителям бюджетных средств - министерству, министерству образования Новосибирской области (далее - главные распорядители бюджетных средств).</w:t>
      </w:r>
    </w:p>
    <w:p>
      <w:pPr>
        <w:pStyle w:val="0"/>
        <w:spacing w:before="200" w:line-rule="auto"/>
        <w:ind w:firstLine="540"/>
        <w:jc w:val="both"/>
      </w:pPr>
      <w:r>
        <w:rPr>
          <w:sz w:val="20"/>
        </w:rPr>
        <w:t xml:space="preserve">5. Главные распорядители бюджетных средств ежемесячно формируют и представляют в министерство финансов и налоговой политики Новосибирской области заявки на выделение предельных объемов финансирования расходов по реализации мероприятий государственной программы в сроки, установленные министерством финансов и налоговой политики Новосибирской области.</w:t>
      </w:r>
    </w:p>
    <w:p>
      <w:pPr>
        <w:pStyle w:val="0"/>
        <w:spacing w:before="200" w:line-rule="auto"/>
        <w:ind w:firstLine="540"/>
        <w:jc w:val="both"/>
      </w:pPr>
      <w:r>
        <w:rPr>
          <w:sz w:val="20"/>
        </w:rPr>
        <w:t xml:space="preserve">6. В случае неисполнения отдельных мероприятий государственной программы неосвоенные бюджетные ассигнования без внесения соответствующих изменений в государственную программу перераспределению на другие мероприятия государственной программы не подлежат и не расходуются.</w:t>
      </w:r>
    </w:p>
    <w:p>
      <w:pPr>
        <w:pStyle w:val="0"/>
        <w:jc w:val="both"/>
      </w:pPr>
      <w:r>
        <w:rPr>
          <w:sz w:val="20"/>
        </w:rPr>
        <w:t xml:space="preserve">(в ред. </w:t>
      </w:r>
      <w:hyperlink w:history="0" r:id="rId265"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15.07.2024 N 313-п)</w:t>
      </w:r>
    </w:p>
    <w:p>
      <w:pPr>
        <w:pStyle w:val="0"/>
        <w:spacing w:before="200" w:line-rule="auto"/>
        <w:ind w:firstLine="540"/>
        <w:jc w:val="both"/>
      </w:pPr>
      <w:r>
        <w:rPr>
          <w:sz w:val="20"/>
        </w:rPr>
        <w:t xml:space="preserve">7. Министерство представляет в министерство финансов и налоговой политики Новосибирской области и в министерство экономического развития Новосибирской области отчетность по форме и в сроки, установленные </w:t>
      </w:r>
      <w:hyperlink w:history="0" r:id="rId266" w:tooltip="Постановление Правительства Новосибирской области от 28.03.2014 N 125-п (ред. от 18.03.2025) &quot;О Порядке принятия решений о разработке государственных программ Новосибирской области, а также формирования и реализации указанных программ&quot; {КонсультантПлюс}">
        <w:r>
          <w:rPr>
            <w:sz w:val="20"/>
            <w:color w:val="0000ff"/>
          </w:rPr>
          <w:t xml:space="preserve">Порядком</w:t>
        </w:r>
      </w:hyperlink>
      <w:r>
        <w:rPr>
          <w:sz w:val="20"/>
        </w:rPr>
        <w:t xml:space="preserve"> принятия решений о разработке государственных программ Новосибирской области, а также формирования и реализации указанных программ, установленным постановлением Правительства Новосибирской области от 28.03.2014 N 125-п.</w:t>
      </w:r>
    </w:p>
    <w:p>
      <w:pPr>
        <w:pStyle w:val="0"/>
        <w:spacing w:before="200" w:line-rule="auto"/>
        <w:ind w:firstLine="540"/>
        <w:jc w:val="both"/>
      </w:pPr>
      <w:r>
        <w:rPr>
          <w:sz w:val="20"/>
        </w:rPr>
        <w:t xml:space="preserve">8. Главные распорядители бюджетных средств в пределах своих полномочий осуществляют контроль за правомерным, целевым, эффективным использованием средств областного бюджета Новосибирской области с учетом субсидий из федерального бюджета на реализацию мероприятий государственной программы.</w:t>
      </w:r>
    </w:p>
    <w:p>
      <w:pPr>
        <w:pStyle w:val="0"/>
        <w:spacing w:before="200" w:line-rule="auto"/>
        <w:ind w:firstLine="540"/>
        <w:jc w:val="both"/>
      </w:pPr>
      <w:r>
        <w:rPr>
          <w:sz w:val="20"/>
        </w:rPr>
        <w:t xml:space="preserve">9. Исполнители мероприятий государственной программы, получатели бюджетных средств, главные распорядители бюджетных средств несут ответственность за нецелевое использование средств областного бюджета Новосибирской области с учетом субсидий из федерального бюджета в соответствии с законодательством Российской Федерации.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2</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p>
      <w:pPr>
        <w:pStyle w:val="2"/>
        <w:jc w:val="center"/>
      </w:pPr>
      <w:r>
        <w:rPr>
          <w:sz w:val="20"/>
        </w:rPr>
        <w:t xml:space="preserve">УСЛОВИЯ</w:t>
      </w:r>
    </w:p>
    <w:p>
      <w:pPr>
        <w:pStyle w:val="2"/>
        <w:jc w:val="center"/>
      </w:pPr>
      <w:r>
        <w:rPr>
          <w:sz w:val="20"/>
        </w:rPr>
        <w:t xml:space="preserve">ПРЕДОСТАВЛЕНИЯ И РАСХОДОВАНИЯ СУБСИДИЙ, ГРАНТОВ В ФОРМЕ</w:t>
      </w:r>
    </w:p>
    <w:p>
      <w:pPr>
        <w:pStyle w:val="2"/>
        <w:jc w:val="center"/>
      </w:pPr>
      <w:r>
        <w:rPr>
          <w:sz w:val="20"/>
        </w:rPr>
        <w:t xml:space="preserve">СУБСИДИЙ ИЗ ОБЛАСТНОГО БЮДЖЕТА НОВОСИБИРСКОЙ ОБЛАСТИ</w:t>
      </w:r>
    </w:p>
    <w:p>
      <w:pPr>
        <w:pStyle w:val="2"/>
        <w:jc w:val="center"/>
      </w:pPr>
      <w:r>
        <w:rPr>
          <w:sz w:val="20"/>
        </w:rPr>
        <w:t xml:space="preserve">БЮДЖЕТАМ МУНИЦИПАЛЬНЫХ ОБРАЗОВАНИЙ НОВОСИБИРСКОЙ ОБЛАСТИ</w:t>
      </w:r>
    </w:p>
    <w:p>
      <w:pPr>
        <w:pStyle w:val="2"/>
        <w:jc w:val="center"/>
      </w:pPr>
      <w:r>
        <w:rPr>
          <w:sz w:val="20"/>
        </w:rPr>
        <w:t xml:space="preserve">НА РЕАЛИЗАЦИЮ МЕРОПРИЯТИЙ ГОСУДАРСТВЕННОЙ ПРОГРАММЫ</w:t>
      </w:r>
    </w:p>
    <w:p>
      <w:pPr>
        <w:pStyle w:val="2"/>
        <w:jc w:val="center"/>
      </w:pPr>
      <w:r>
        <w:rPr>
          <w:sz w:val="20"/>
        </w:rPr>
        <w:t xml:space="preserve">"РАЗВИТИЕ ИНСТИТУТОВ РЕГИОНАЛЬНОЙ ПОЛИТИКИ И ГРАЖДАНСКОГО</w:t>
      </w:r>
    </w:p>
    <w:p>
      <w:pPr>
        <w:pStyle w:val="2"/>
        <w:jc w:val="center"/>
      </w:pPr>
      <w:r>
        <w:rPr>
          <w:sz w:val="20"/>
        </w:rPr>
        <w:t xml:space="preserve">ОБЩЕСТВА В НОВОСИБИРСКОЙ ОБЛАСТИ"</w:t>
      </w:r>
    </w:p>
    <w:p>
      <w:pPr>
        <w:pStyle w:val="0"/>
        <w:jc w:val="center"/>
      </w:pPr>
      <w:r>
        <w:rPr>
          <w:sz w:val="20"/>
        </w:rPr>
      </w:r>
    </w:p>
    <w:p>
      <w:pPr>
        <w:pStyle w:val="0"/>
        <w:ind w:firstLine="540"/>
        <w:jc w:val="both"/>
      </w:pPr>
      <w:r>
        <w:rPr>
          <w:sz w:val="20"/>
        </w:rPr>
        <w:t xml:space="preserve">Утратили силу. - </w:t>
      </w:r>
      <w:hyperlink w:history="0" r:id="rId267" w:tooltip="Постановление Правительства Новосибирской области от 04.08.2020 N 320-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04.08.2020 N 320-п.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3</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p>
      <w:pPr>
        <w:pStyle w:val="2"/>
        <w:jc w:val="center"/>
      </w:pPr>
      <w:r>
        <w:rPr>
          <w:sz w:val="20"/>
        </w:rPr>
        <w:t xml:space="preserve">ПОРЯДОК</w:t>
      </w:r>
    </w:p>
    <w:p>
      <w:pPr>
        <w:pStyle w:val="2"/>
        <w:jc w:val="center"/>
      </w:pPr>
      <w:r>
        <w:rPr>
          <w:sz w:val="20"/>
        </w:rPr>
        <w:t xml:space="preserve">ОПРЕДЕЛЕНИЯ ОБЪЕМА И ПРЕДОСТАВЛЕНИЯ СУБСИДИЙ СОЦИАЛЬНО</w:t>
      </w:r>
    </w:p>
    <w:p>
      <w:pPr>
        <w:pStyle w:val="2"/>
        <w:jc w:val="center"/>
      </w:pPr>
      <w:r>
        <w:rPr>
          <w:sz w:val="20"/>
        </w:rPr>
        <w:t xml:space="preserve">ОРИЕНТИРОВАННЫМ НЕКОММЕРЧЕСКИМ ОРГАНИЗАЦИЯМ ИЗ ОБЛАСТНОГО</w:t>
      </w:r>
    </w:p>
    <w:p>
      <w:pPr>
        <w:pStyle w:val="2"/>
        <w:jc w:val="center"/>
      </w:pPr>
      <w:r>
        <w:rPr>
          <w:sz w:val="20"/>
        </w:rPr>
        <w:t xml:space="preserve">БЮДЖЕТА НОВОСИБИРСКОЙ ОБЛАСТИ НА РЕАЛИЗАЦИЮ МЕРОПРИЯТИЙ</w:t>
      </w:r>
    </w:p>
    <w:p>
      <w:pPr>
        <w:pStyle w:val="2"/>
        <w:jc w:val="center"/>
      </w:pPr>
      <w:r>
        <w:rPr>
          <w:sz w:val="20"/>
        </w:rPr>
        <w:t xml:space="preserve">ГОСУДАРСТВЕННОЙ ПРОГРАММЫ НОВОСИБИРСКОЙ ОБЛАСТИ "РАЗВИТИЕ</w:t>
      </w:r>
    </w:p>
    <w:p>
      <w:pPr>
        <w:pStyle w:val="2"/>
        <w:jc w:val="center"/>
      </w:pPr>
      <w:r>
        <w:rPr>
          <w:sz w:val="20"/>
        </w:rPr>
        <w:t xml:space="preserve">ИНСТИТУТОВ РЕГИОНАЛЬНОЙ ПОЛИТИКИ И ГРАЖДАНСКОГО</w:t>
      </w:r>
    </w:p>
    <w:p>
      <w:pPr>
        <w:pStyle w:val="2"/>
        <w:jc w:val="center"/>
      </w:pPr>
      <w:r>
        <w:rPr>
          <w:sz w:val="20"/>
        </w:rPr>
        <w:t xml:space="preserve">ОБЩЕСТВА В НОВОСИБИРСКОЙ ОБЛАСТИ"</w:t>
      </w:r>
    </w:p>
    <w:p>
      <w:pPr>
        <w:pStyle w:val="0"/>
        <w:ind w:firstLine="540"/>
        <w:jc w:val="both"/>
      </w:pPr>
      <w:r>
        <w:rPr>
          <w:sz w:val="20"/>
        </w:rPr>
      </w:r>
    </w:p>
    <w:p>
      <w:pPr>
        <w:pStyle w:val="0"/>
        <w:ind w:firstLine="540"/>
        <w:jc w:val="both"/>
      </w:pPr>
      <w:r>
        <w:rPr>
          <w:sz w:val="20"/>
        </w:rPr>
        <w:t xml:space="preserve">Утратил силу. - </w:t>
      </w:r>
      <w:hyperlink w:history="0" r:id="rId268" w:tooltip="Постановление Правительства Новосибирской области от 01.06.2021 N 194-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01.06.2021 N 194-п.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4</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887" w:name="P887"/>
    <w:bookmarkEnd w:id="887"/>
    <w:p>
      <w:pPr>
        <w:pStyle w:val="2"/>
        <w:jc w:val="center"/>
      </w:pPr>
      <w:r>
        <w:rPr>
          <w:sz w:val="20"/>
        </w:rPr>
        <w:t xml:space="preserve">ПОРЯДОК</w:t>
      </w:r>
    </w:p>
    <w:p>
      <w:pPr>
        <w:pStyle w:val="2"/>
        <w:jc w:val="center"/>
      </w:pPr>
      <w:r>
        <w:rPr>
          <w:sz w:val="20"/>
        </w:rPr>
        <w:t xml:space="preserve">ПРЕДОСТАВЛЕНИЯ СУБСИДИЙ СОЦИАЛЬНО ОРИЕНТИРОВАННЫМ</w:t>
      </w:r>
    </w:p>
    <w:p>
      <w:pPr>
        <w:pStyle w:val="2"/>
        <w:jc w:val="center"/>
      </w:pPr>
      <w:r>
        <w:rPr>
          <w:sz w:val="20"/>
        </w:rPr>
        <w:t xml:space="preserve">НЕКОММЕРЧЕСКИМ ОРГАНИЗАЦИЯМ ИЗ ОБЛАСТНОГО БЮДЖЕТА</w:t>
      </w:r>
    </w:p>
    <w:p>
      <w:pPr>
        <w:pStyle w:val="2"/>
        <w:jc w:val="center"/>
      </w:pPr>
      <w:r>
        <w:rPr>
          <w:sz w:val="20"/>
        </w:rPr>
        <w:t xml:space="preserve">НОВОСИБИРСКОЙ ОБЛАСТИ НА РЕАЛИЗАЦИЮ МЕРОПРИЯТИЙ ПО</w:t>
      </w:r>
    </w:p>
    <w:p>
      <w:pPr>
        <w:pStyle w:val="2"/>
        <w:jc w:val="center"/>
      </w:pPr>
      <w:r>
        <w:rPr>
          <w:sz w:val="20"/>
        </w:rPr>
        <w:t xml:space="preserve">ОРГАНИЗАЦИИ И ПРОВЕДЕНИЮ ПОИСКОВЫХ РАБОТ ПО ВЫЯВЛЕНИЮ</w:t>
      </w:r>
    </w:p>
    <w:p>
      <w:pPr>
        <w:pStyle w:val="2"/>
        <w:jc w:val="center"/>
      </w:pPr>
      <w:r>
        <w:rPr>
          <w:sz w:val="20"/>
        </w:rPr>
        <w:t xml:space="preserve">НЕИЗВЕСТНЫХ ВОИНСКИХ ЗАХОРОНЕНИЙ И НЕПОГРЕБЕННЫХ</w:t>
      </w:r>
    </w:p>
    <w:p>
      <w:pPr>
        <w:pStyle w:val="2"/>
        <w:jc w:val="center"/>
      </w:pPr>
      <w:r>
        <w:rPr>
          <w:sz w:val="20"/>
        </w:rPr>
        <w:t xml:space="preserve">ОСТАНКОВ ВОИНОВ, ПОГИБШИХ ПРИ ЗАЩИТЕ ОТЕЧЕСТВА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15.07.2024 </w:t>
            </w:r>
            <w:hyperlink w:history="0" r:id="rId269"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06.02.2025 </w:t>
            </w:r>
            <w:hyperlink w:history="0" r:id="rId27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N 48-п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Порядок предоставления субсидий социально ориентированным некоммерческим организациям из областного бюджета Новосибирской области на реализацию мероприятий по организации и проведению поисковых работ по выявлению неизвестных воинских захоронений и непогребенных останков воинов, погибших при защите Отечества (далее - Порядок), определяет цели, условия предоставления из областного бюджета Новосибирской области (далее - областной бюджет) субсидий социально ориентированным некоммерческим организациям при реализации мероприятий государственной </w:t>
      </w:r>
      <w:hyperlink w:history="0" w:anchor="P81" w:tooltip="ГОСУДАРСТВЕННАЯ ПРОГРАММА">
        <w:r>
          <w:rPr>
            <w:sz w:val="20"/>
            <w:color w:val="0000ff"/>
          </w:rPr>
          <w:t xml:space="preserve">программы</w:t>
        </w:r>
      </w:hyperlink>
      <w:r>
        <w:rPr>
          <w:sz w:val="20"/>
        </w:rPr>
        <w:t xml:space="preserve"> Новосибирской области "Развитие институтов региональной политики и гражданского общества в Новосибирской области".</w:t>
      </w:r>
    </w:p>
    <w:p>
      <w:pPr>
        <w:pStyle w:val="0"/>
        <w:spacing w:before="200" w:line-rule="auto"/>
        <w:ind w:firstLine="540"/>
        <w:jc w:val="both"/>
      </w:pPr>
      <w:r>
        <w:rPr>
          <w:sz w:val="20"/>
        </w:rPr>
        <w:t xml:space="preserve">2. Порядок разработан в соответствии с </w:t>
      </w:r>
      <w:hyperlink w:history="0" r:id="rId271"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2 статьи 78.1</w:t>
        </w:r>
      </w:hyperlink>
      <w:r>
        <w:rPr>
          <w:sz w:val="20"/>
        </w:rPr>
        <w:t xml:space="preserve"> Бюджетного кодекса Российской Федерации, Федеральным </w:t>
      </w:r>
      <w:hyperlink w:history="0" r:id="rId272"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w:t>
      </w:r>
      <w:hyperlink w:history="0" r:id="rId273" w:tooltip="Постановление Правительства РФ от 25.10.2023 N 1782 (ред. от 16.11.2024) &quo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quot; {КонсультантПлюс}">
        <w:r>
          <w:rPr>
            <w:sz w:val="20"/>
            <w:color w:val="0000ff"/>
          </w:rPr>
          <w:t xml:space="preserve">постановлением</w:t>
        </w:r>
      </w:hyperlink>
      <w:r>
        <w:rPr>
          <w:sz w:val="20"/>
        </w:rP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w:history="0" r:id="rId274"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w:t>
      </w:r>
    </w:p>
    <w:bookmarkStart w:id="900" w:name="P900"/>
    <w:bookmarkEnd w:id="900"/>
    <w:p>
      <w:pPr>
        <w:pStyle w:val="0"/>
        <w:spacing w:before="200" w:line-rule="auto"/>
        <w:ind w:firstLine="540"/>
        <w:jc w:val="both"/>
      </w:pPr>
      <w:r>
        <w:rPr>
          <w:sz w:val="20"/>
        </w:rPr>
        <w:t xml:space="preserve">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w:t>
      </w:r>
    </w:p>
    <w:p>
      <w:pPr>
        <w:pStyle w:val="0"/>
        <w:spacing w:before="200" w:line-rule="auto"/>
        <w:ind w:firstLine="540"/>
        <w:jc w:val="both"/>
      </w:pPr>
      <w:r>
        <w:rPr>
          <w:sz w:val="20"/>
        </w:rPr>
        <w:t xml:space="preserve">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в порядке, установленном Министерством финансов Российской Федерации.</w:t>
      </w:r>
    </w:p>
    <w:bookmarkStart w:id="902" w:name="P902"/>
    <w:bookmarkEnd w:id="902"/>
    <w:p>
      <w:pPr>
        <w:pStyle w:val="0"/>
        <w:spacing w:before="200" w:line-rule="auto"/>
        <w:ind w:firstLine="540"/>
        <w:jc w:val="both"/>
      </w:pPr>
      <w:r>
        <w:rPr>
          <w:sz w:val="20"/>
        </w:rPr>
        <w:t xml:space="preserve">4. Субсидии предоставляются министерством в целях финансового обеспечения затрат при выполнении мероприятий, предусмотренных государственной программой, по организации и проведению поисковых работ по выявлению неизвестных воинских захоронений и непогребенных останков воинов, погибших при защите Отечества (далее - мероприятия по организации и проведению поисковых работ).</w:t>
      </w:r>
    </w:p>
    <w:p>
      <w:pPr>
        <w:pStyle w:val="0"/>
        <w:spacing w:before="200" w:line-rule="auto"/>
        <w:ind w:firstLine="540"/>
        <w:jc w:val="both"/>
      </w:pPr>
      <w:r>
        <w:rPr>
          <w:sz w:val="20"/>
        </w:rPr>
        <w:t xml:space="preserve">За счет предоставленной субсидии запрещается осуществлять расходы, напрямую не связанные с реализацией мероприятий по организации и проведению поисковых работ.</w:t>
      </w:r>
    </w:p>
    <w:bookmarkStart w:id="904" w:name="P904"/>
    <w:bookmarkEnd w:id="904"/>
    <w:p>
      <w:pPr>
        <w:pStyle w:val="0"/>
        <w:spacing w:before="200" w:line-rule="auto"/>
        <w:ind w:firstLine="540"/>
        <w:jc w:val="both"/>
      </w:pPr>
      <w:r>
        <w:rPr>
          <w:sz w:val="20"/>
        </w:rPr>
        <w:t xml:space="preserve">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w:t>
      </w:r>
      <w:hyperlink w:history="0" r:id="rId275"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и </w:t>
      </w:r>
      <w:hyperlink w:history="0" r:id="rId276"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 за исключением государственных корпораций, государственных компаний, общественных объединений, являющихся политическими партиями, государственных и муниципальных учреждений (далее - организации).</w:t>
      </w:r>
    </w:p>
    <w:p>
      <w:pPr>
        <w:pStyle w:val="0"/>
        <w:ind w:firstLine="540"/>
        <w:jc w:val="both"/>
      </w:pPr>
      <w:r>
        <w:rPr>
          <w:sz w:val="20"/>
        </w:rPr>
      </w:r>
    </w:p>
    <w:p>
      <w:pPr>
        <w:pStyle w:val="2"/>
        <w:outlineLvl w:val="1"/>
        <w:jc w:val="center"/>
      </w:pPr>
      <w:r>
        <w:rPr>
          <w:sz w:val="20"/>
        </w:rPr>
        <w:t xml:space="preserve">Порядок проведения отбора организаций</w:t>
      </w:r>
    </w:p>
    <w:p>
      <w:pPr>
        <w:pStyle w:val="2"/>
        <w:jc w:val="center"/>
      </w:pPr>
      <w:r>
        <w:rPr>
          <w:sz w:val="20"/>
        </w:rPr>
        <w:t xml:space="preserve">для предоставления субсидий</w:t>
      </w:r>
    </w:p>
    <w:p>
      <w:pPr>
        <w:pStyle w:val="0"/>
        <w:ind w:firstLine="540"/>
        <w:jc w:val="both"/>
      </w:pPr>
      <w:r>
        <w:rPr>
          <w:sz w:val="20"/>
        </w:rPr>
      </w:r>
    </w:p>
    <w:p>
      <w:pPr>
        <w:pStyle w:val="0"/>
        <w:ind w:firstLine="540"/>
        <w:jc w:val="both"/>
      </w:pPr>
      <w:r>
        <w:rPr>
          <w:sz w:val="20"/>
        </w:rPr>
        <w:t xml:space="preserve">6. Субсидии предоставляются по результатам отбора, организатором которого является министерство.</w:t>
      </w:r>
    </w:p>
    <w:p>
      <w:pPr>
        <w:pStyle w:val="0"/>
        <w:spacing w:before="200" w:line-rule="auto"/>
        <w:ind w:firstLine="540"/>
        <w:jc w:val="both"/>
      </w:pPr>
      <w:r>
        <w:rPr>
          <w:sz w:val="20"/>
        </w:rPr>
        <w:t xml:space="preserve">Отбор организаций осуществляется на конкурентной основе путем запроса предложений, исходя из соответствия организаций категориям и критериям отбора и очередности поступления предложений (заявок) на участие в отборе организаций.</w:t>
      </w:r>
    </w:p>
    <w:p>
      <w:pPr>
        <w:pStyle w:val="0"/>
        <w:spacing w:before="200" w:line-rule="auto"/>
        <w:ind w:firstLine="540"/>
        <w:jc w:val="both"/>
      </w:pPr>
      <w:r>
        <w:rPr>
          <w:sz w:val="20"/>
        </w:rPr>
        <w:t xml:space="preserve">Информация о проведении отбора (объявление о проведении отбора, его отмене, информация о ходе и результатах отбора) размещается министерством в информационно-телекоммуникационной сети "Интернет" на едином портале,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не ранее размещения информации о гранте в соответствии с </w:t>
      </w:r>
      <w:hyperlink w:history="0" w:anchor="P900" w:tooltip="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w:r>
          <w:rPr>
            <w:sz w:val="20"/>
            <w:color w:val="0000ff"/>
          </w:rPr>
          <w:t xml:space="preserve">пунктом 3</w:t>
        </w:r>
      </w:hyperlink>
      <w:r>
        <w:rPr>
          <w:sz w:val="20"/>
        </w:rPr>
        <w:t xml:space="preserve"> Порядка.</w:t>
      </w:r>
    </w:p>
    <w:p>
      <w:pPr>
        <w:pStyle w:val="0"/>
        <w:jc w:val="both"/>
      </w:pPr>
      <w:r>
        <w:rPr>
          <w:sz w:val="20"/>
        </w:rPr>
        <w:t xml:space="preserve">(в ред. </w:t>
      </w:r>
      <w:hyperlink w:history="0" r:id="rId27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организаций осуществляется в государственной интегрированной информационной системе управления общественными финансами "Электронный бюджет" (в разделе предоставления мер финансовой государственной поддержки) (далее - система "Электронный бюджет").</w:t>
      </w:r>
    </w:p>
    <w:p>
      <w:pPr>
        <w:pStyle w:val="0"/>
        <w:jc w:val="both"/>
      </w:pPr>
      <w:r>
        <w:rPr>
          <w:sz w:val="20"/>
        </w:rPr>
        <w:t xml:space="preserve">(абзац введен </w:t>
      </w:r>
      <w:hyperlink w:history="0" r:id="rId27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Взаимодействие министерства, комиссии по рассмотрению и оценке заявок социально ориентированных некоммерческих организаций (далее - комиссия) с организациями осуществляется с использованием документов в электронной форме в системе "Электронный бюджет".</w:t>
      </w:r>
    </w:p>
    <w:p>
      <w:pPr>
        <w:pStyle w:val="0"/>
        <w:jc w:val="both"/>
      </w:pPr>
      <w:r>
        <w:rPr>
          <w:sz w:val="20"/>
        </w:rPr>
        <w:t xml:space="preserve">(абзац введен </w:t>
      </w:r>
      <w:hyperlink w:history="0" r:id="rId27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Доступ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0"/>
        <w:jc w:val="both"/>
      </w:pPr>
      <w:r>
        <w:rPr>
          <w:sz w:val="20"/>
        </w:rPr>
        <w:t xml:space="preserve">(абзац введен </w:t>
      </w:r>
      <w:hyperlink w:history="0" r:id="rId28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В целях проведения отбора организаций для предоставления субсидий министерство:</w:t>
      </w:r>
    </w:p>
    <w:p>
      <w:pPr>
        <w:pStyle w:val="0"/>
        <w:spacing w:before="200" w:line-rule="auto"/>
        <w:ind w:firstLine="540"/>
        <w:jc w:val="both"/>
      </w:pPr>
      <w:r>
        <w:rPr>
          <w:sz w:val="20"/>
        </w:rPr>
        <w:t xml:space="preserve">1) издает приказ об объявлении отбора,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абзац утратил силу. - </w:t>
      </w:r>
      <w:hyperlink w:history="0" r:id="rId28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дату начала подачи и окончания приема заявок организаций;</w:t>
      </w:r>
    </w:p>
    <w:p>
      <w:pPr>
        <w:pStyle w:val="0"/>
        <w:spacing w:before="200" w:line-rule="auto"/>
        <w:ind w:firstLine="540"/>
        <w:jc w:val="both"/>
      </w:pPr>
      <w:r>
        <w:rPr>
          <w:sz w:val="20"/>
        </w:rPr>
        <w:t xml:space="preserve">абзац утратил силу. - </w:t>
      </w:r>
      <w:hyperlink w:history="0" r:id="rId28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срок реализации мероприятий по организации и проведению поисковых работ организациями;</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абзац утратил силу. - </w:t>
      </w:r>
      <w:hyperlink w:history="0" r:id="rId28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положение о комиссии и состав комиссии;</w:t>
      </w:r>
    </w:p>
    <w:p>
      <w:pPr>
        <w:pStyle w:val="0"/>
        <w:jc w:val="both"/>
      </w:pPr>
      <w:r>
        <w:rPr>
          <w:sz w:val="20"/>
        </w:rPr>
        <w:t xml:space="preserve">(в ред. </w:t>
      </w:r>
      <w:hyperlink w:history="0" r:id="rId28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устанавливает максимальный размер субсидии;</w:t>
      </w:r>
    </w:p>
    <w:p>
      <w:pPr>
        <w:pStyle w:val="0"/>
        <w:spacing w:before="200" w:line-rule="auto"/>
        <w:ind w:firstLine="540"/>
        <w:jc w:val="both"/>
      </w:pPr>
      <w:r>
        <w:rPr>
          <w:sz w:val="20"/>
        </w:rPr>
        <w:t xml:space="preserve">2) размещает объявление о проведении отбора в соответствии с </w:t>
      </w:r>
      <w:hyperlink w:history="0" w:anchor="P950" w:tooltip="9. Объявление о проведении отбора формируется в электронном виде в системе &quot;Электронный бюджет&quot;,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едином портале, на информационном ресурсе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не позднее чем за десять календарных дней до окончания срока приема з...">
        <w:r>
          <w:rPr>
            <w:sz w:val="20"/>
            <w:color w:val="0000ff"/>
          </w:rPr>
          <w:t xml:space="preserve">пунктом 9</w:t>
        </w:r>
      </w:hyperlink>
      <w:r>
        <w:rPr>
          <w:sz w:val="20"/>
        </w:rPr>
        <w:t xml:space="preserve"> Порядка;</w:t>
      </w:r>
    </w:p>
    <w:p>
      <w:pPr>
        <w:pStyle w:val="0"/>
        <w:spacing w:before="200" w:line-rule="auto"/>
        <w:ind w:firstLine="540"/>
        <w:jc w:val="both"/>
      </w:pPr>
      <w:r>
        <w:rPr>
          <w:sz w:val="20"/>
        </w:rPr>
        <w:t xml:space="preserve">3) организует консультирование по вопросам подготовки заявок;</w:t>
      </w:r>
    </w:p>
    <w:p>
      <w:pPr>
        <w:pStyle w:val="0"/>
        <w:spacing w:before="200" w:line-rule="auto"/>
        <w:ind w:firstLine="540"/>
        <w:jc w:val="both"/>
      </w:pPr>
      <w:r>
        <w:rPr>
          <w:sz w:val="20"/>
        </w:rPr>
        <w:t xml:space="preserve">4) утратил силу. - </w:t>
      </w:r>
      <w:hyperlink w:history="0" r:id="rId28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осуществляет проверку поданных заявок в соответствии с </w:t>
      </w:r>
      <w:hyperlink w:history="0" w:anchor="P1026" w:tooltip="18.1. Проверка организации на соответствие требованиям, указанным в пункте 11 Порядка, осуществляется автоматически в системе &quot;Электронный бюджет&quot;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r>
          <w:rPr>
            <w:sz w:val="20"/>
            <w:color w:val="0000ff"/>
          </w:rPr>
          <w:t xml:space="preserve">пунктами 18.1</w:t>
        </w:r>
      </w:hyperlink>
      <w:r>
        <w:rPr>
          <w:sz w:val="20"/>
        </w:rPr>
        <w:t xml:space="preserve">, </w:t>
      </w:r>
      <w:hyperlink w:history="0" w:anchor="P1029" w:tooltip="19. Министерство на стадии проверки документов организации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
        <w:r>
          <w:rPr>
            <w:sz w:val="20"/>
            <w:color w:val="0000ff"/>
          </w:rPr>
          <w:t xml:space="preserve">19</w:t>
        </w:r>
      </w:hyperlink>
      <w:r>
        <w:rPr>
          <w:sz w:val="20"/>
        </w:rPr>
        <w:t xml:space="preserve"> Порядка;</w:t>
      </w:r>
    </w:p>
    <w:p>
      <w:pPr>
        <w:pStyle w:val="0"/>
        <w:jc w:val="both"/>
      </w:pPr>
      <w:r>
        <w:rPr>
          <w:sz w:val="20"/>
        </w:rPr>
        <w:t xml:space="preserve">(в ред. </w:t>
      </w:r>
      <w:hyperlink w:history="0" r:id="rId28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6) утратил силу. - </w:t>
      </w:r>
      <w:hyperlink w:history="0" r:id="rId28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организует рассмотрение и оценку заявок;</w:t>
      </w:r>
    </w:p>
    <w:p>
      <w:pPr>
        <w:pStyle w:val="0"/>
        <w:spacing w:before="200" w:line-rule="auto"/>
        <w:ind w:firstLine="540"/>
        <w:jc w:val="both"/>
      </w:pPr>
      <w:r>
        <w:rPr>
          <w:sz w:val="20"/>
        </w:rPr>
        <w:t xml:space="preserve">8) на основании решения комиссии издает приказ о результатах отбора;</w:t>
      </w:r>
    </w:p>
    <w:p>
      <w:pPr>
        <w:pStyle w:val="0"/>
        <w:spacing w:before="200" w:line-rule="auto"/>
        <w:ind w:firstLine="540"/>
        <w:jc w:val="both"/>
      </w:pPr>
      <w:r>
        <w:rPr>
          <w:sz w:val="20"/>
        </w:rPr>
        <w:t xml:space="preserve">9) заключает соглашения о предоставлении субсидий (далее - соглашение).</w:t>
      </w:r>
    </w:p>
    <w:bookmarkStart w:id="940" w:name="P940"/>
    <w:bookmarkEnd w:id="940"/>
    <w:p>
      <w:pPr>
        <w:pStyle w:val="0"/>
        <w:spacing w:before="200" w:line-rule="auto"/>
        <w:ind w:firstLine="540"/>
        <w:jc w:val="both"/>
      </w:pPr>
      <w:r>
        <w:rPr>
          <w:sz w:val="20"/>
        </w:rPr>
        <w:t xml:space="preserve">8. Не позднее чем за два рабочих дня до даты окончания срока приема заявок организаций министерство вправе отменить отбор путем издания соответствующего приказа.</w:t>
      </w:r>
    </w:p>
    <w:p>
      <w:pPr>
        <w:pStyle w:val="0"/>
        <w:spacing w:before="200" w:line-rule="auto"/>
        <w:ind w:firstLine="540"/>
        <w:jc w:val="both"/>
      </w:pPr>
      <w:r>
        <w:rPr>
          <w:sz w:val="20"/>
        </w:rPr>
        <w:t xml:space="preserve">Министерство принимает решение об отмене отбора в случае уменьшения или отзыва ранее доведенных лимитов бюджетных ассигнований на предоставление субсидий, установленных министерству на текущий финансовый год в пределах лимитов бюджетных обязательств в соответствии со сводной бюджетной росписью и кассовым планом областного бюджета, приводящих к невозможности предоставления субсидий.</w:t>
      </w:r>
    </w:p>
    <w:p>
      <w:pPr>
        <w:pStyle w:val="0"/>
        <w:jc w:val="both"/>
      </w:pPr>
      <w:r>
        <w:rPr>
          <w:sz w:val="20"/>
        </w:rPr>
        <w:t xml:space="preserve">(в ред. </w:t>
      </w:r>
      <w:hyperlink w:history="0" r:id="rId28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Организации, подавшие заявки, информируются об отмене проведения отбора в системе "Электронный бюджет", на официальном сайте министерства.</w:t>
      </w:r>
    </w:p>
    <w:p>
      <w:pPr>
        <w:pStyle w:val="0"/>
        <w:jc w:val="both"/>
      </w:pPr>
      <w:r>
        <w:rPr>
          <w:sz w:val="20"/>
        </w:rPr>
        <w:t xml:space="preserve">(в ред. </w:t>
      </w:r>
      <w:hyperlink w:history="0" r:id="rId28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считается отмененным со дня размещения объявления о его отмене на едином портале.</w:t>
      </w:r>
    </w:p>
    <w:p>
      <w:pPr>
        <w:pStyle w:val="0"/>
        <w:jc w:val="both"/>
      </w:pPr>
      <w:r>
        <w:rPr>
          <w:sz w:val="20"/>
        </w:rPr>
        <w:t xml:space="preserve">(в ред. </w:t>
      </w:r>
      <w:hyperlink w:history="0" r:id="rId29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После окончания срока отмены отбора в соответствии с </w:t>
      </w:r>
      <w:hyperlink w:history="0" w:anchor="P940" w:tooltip="8. Не позднее чем за два рабочих дня до даты окончания срока приема заявок организаций министерство вправе отменить отбор путем издания соответствующего приказа.">
        <w:r>
          <w:rPr>
            <w:sz w:val="20"/>
            <w:color w:val="0000ff"/>
          </w:rPr>
          <w:t xml:space="preserve">абзацем первым</w:t>
        </w:r>
      </w:hyperlink>
      <w:r>
        <w:rPr>
          <w:sz w:val="20"/>
        </w:rPr>
        <w:t xml:space="preserve"> настоящего пункта и до заключения соглашения с победителем (победителями) отбора министерство может отменить отбор только в случае возникновения обстоятельств непреодолимой силы в соответствии с </w:t>
      </w:r>
      <w:hyperlink w:history="0" r:id="rId291" w:tooltip="&quot;Гражданский кодекс Российской Федерации (часть первая)&quot; от 30.11.1994 N 51-ФЗ (ред. от 08.08.2024, с изм. от 31.10.2024) {КонсультантПлюс}">
        <w:r>
          <w:rPr>
            <w:sz w:val="20"/>
            <w:color w:val="0000ff"/>
          </w:rPr>
          <w:t xml:space="preserve">пунктом 3 статьи 401</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главного распорядителя бюджетных средств и содержит информацию о причинах отмены отбора.</w:t>
      </w:r>
    </w:p>
    <w:p>
      <w:pPr>
        <w:pStyle w:val="0"/>
        <w:jc w:val="both"/>
      </w:pPr>
      <w:r>
        <w:rPr>
          <w:sz w:val="20"/>
        </w:rPr>
        <w:t xml:space="preserve">(абзац введен </w:t>
      </w:r>
      <w:hyperlink w:history="0" r:id="rId29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950" w:name="P950"/>
    <w:bookmarkEnd w:id="950"/>
    <w:p>
      <w:pPr>
        <w:pStyle w:val="0"/>
        <w:spacing w:before="200" w:line-rule="auto"/>
        <w:ind w:firstLine="540"/>
        <w:jc w:val="both"/>
      </w:pPr>
      <w:r>
        <w:rPr>
          <w:sz w:val="20"/>
        </w:rPr>
        <w:t xml:space="preserve">9. Объявление о проведении отбора формируется в электронном виде в системе "Электронный бюджет",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едином портале, на информационном ресурсе об оказании финансовой поддержки социально ориентированным некоммерческим организациям, а также на официальном сайте министерства в сети "Интернет" не позднее чем за десять календарных дней до окончания срока приема заявок.</w:t>
      </w:r>
    </w:p>
    <w:p>
      <w:pPr>
        <w:pStyle w:val="0"/>
        <w:jc w:val="both"/>
      </w:pPr>
      <w:r>
        <w:rPr>
          <w:sz w:val="20"/>
        </w:rPr>
        <w:t xml:space="preserve">(в ред. </w:t>
      </w:r>
      <w:hyperlink w:history="0" r:id="rId29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 Объявление о проведении отбора содержит:</w:t>
      </w:r>
    </w:p>
    <w:p>
      <w:pPr>
        <w:pStyle w:val="0"/>
        <w:spacing w:before="200" w:line-rule="auto"/>
        <w:ind w:firstLine="540"/>
        <w:jc w:val="both"/>
      </w:pPr>
      <w:r>
        <w:rPr>
          <w:sz w:val="20"/>
        </w:rPr>
        <w:t xml:space="preserve">1) сроки проведения отбора;</w:t>
      </w:r>
    </w:p>
    <w:p>
      <w:pPr>
        <w:pStyle w:val="0"/>
        <w:spacing w:before="200" w:line-rule="auto"/>
        <w:ind w:firstLine="540"/>
        <w:jc w:val="both"/>
      </w:pPr>
      <w:r>
        <w:rPr>
          <w:sz w:val="20"/>
        </w:rPr>
        <w:t xml:space="preserve">2) дату начала подачи и окончания приема заявок организаций, которая не может быть ранее десятого календарного дня, следующего за днем размещения объявления о проведении отбора;</w:t>
      </w:r>
    </w:p>
    <w:p>
      <w:pPr>
        <w:pStyle w:val="0"/>
        <w:spacing w:before="200" w:line-rule="auto"/>
        <w:ind w:firstLine="540"/>
        <w:jc w:val="both"/>
      </w:pPr>
      <w:r>
        <w:rPr>
          <w:sz w:val="20"/>
        </w:rPr>
        <w:t xml:space="preserve">3) наименование, место нахождения, почтовый адрес, адрес электронной почты министерства;</w:t>
      </w:r>
    </w:p>
    <w:p>
      <w:pPr>
        <w:pStyle w:val="0"/>
        <w:spacing w:before="200" w:line-rule="auto"/>
        <w:ind w:firstLine="540"/>
        <w:jc w:val="both"/>
      </w:pPr>
      <w:r>
        <w:rPr>
          <w:sz w:val="20"/>
        </w:rPr>
        <w:t xml:space="preserve">4) результаты предоставления субсидии, их характеристики (показатели, необходимые для достижения результата предоставления субсидии) в соответствии с </w:t>
      </w:r>
      <w:hyperlink w:history="0" w:anchor="P1110" w:tooltip="37. Результатом предоставления субсидии являются реализованные мероприятия по организации и проведению поисковых работ.">
        <w:r>
          <w:rPr>
            <w:sz w:val="20"/>
            <w:color w:val="0000ff"/>
          </w:rPr>
          <w:t xml:space="preserve">пунктом 37</w:t>
        </w:r>
      </w:hyperlink>
      <w:r>
        <w:rPr>
          <w:sz w:val="20"/>
        </w:rPr>
        <w:t xml:space="preserve"> Порядка;</w:t>
      </w:r>
    </w:p>
    <w:p>
      <w:pPr>
        <w:pStyle w:val="0"/>
        <w:jc w:val="both"/>
      </w:pPr>
      <w:r>
        <w:rPr>
          <w:sz w:val="20"/>
        </w:rPr>
        <w:t xml:space="preserve">(в ред. </w:t>
      </w:r>
      <w:hyperlink w:history="0" r:id="rId29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доменное имя и (или) сетевой адрес и (или) указатель страниц сайта в сети "Интернет", на котором обеспечивается проведение отбора (далее - информационный ресурс);</w:t>
      </w:r>
    </w:p>
    <w:p>
      <w:pPr>
        <w:pStyle w:val="0"/>
        <w:spacing w:before="200" w:line-rule="auto"/>
        <w:ind w:firstLine="540"/>
        <w:jc w:val="both"/>
      </w:pPr>
      <w:r>
        <w:rPr>
          <w:sz w:val="20"/>
        </w:rPr>
        <w:t xml:space="preserve">6) требования к организациям, определенные в соответствии с </w:t>
      </w:r>
      <w:hyperlink w:history="0" w:anchor="P979" w:tooltip="11. Организация должна соответствовать следующим требованиям:">
        <w:r>
          <w:rPr>
            <w:sz w:val="20"/>
            <w:color w:val="0000ff"/>
          </w:rPr>
          <w:t xml:space="preserve">пунктом 11</w:t>
        </w:r>
      </w:hyperlink>
      <w:r>
        <w:rPr>
          <w:sz w:val="20"/>
        </w:rPr>
        <w:t xml:space="preserve"> Порядка, и к перечню документов, представляемых организациями для подтверждения соответствия указанным требованиям;</w:t>
      </w:r>
    </w:p>
    <w:p>
      <w:pPr>
        <w:pStyle w:val="0"/>
        <w:spacing w:before="200" w:line-rule="auto"/>
        <w:ind w:firstLine="540"/>
        <w:jc w:val="both"/>
      </w:pPr>
      <w:r>
        <w:rPr>
          <w:sz w:val="20"/>
        </w:rPr>
        <w:t xml:space="preserve">7) категории и критерии отбора в соответствии с </w:t>
      </w:r>
      <w:hyperlink w:history="0" w:anchor="P904" w:tooltip="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исключением государственных корпораций, государст...">
        <w:r>
          <w:rPr>
            <w:sz w:val="20"/>
            <w:color w:val="0000ff"/>
          </w:rPr>
          <w:t xml:space="preserve">пунктами 5</w:t>
        </w:r>
      </w:hyperlink>
      <w:r>
        <w:rPr>
          <w:sz w:val="20"/>
        </w:rPr>
        <w:t xml:space="preserve">, </w:t>
      </w:r>
      <w:hyperlink w:history="0" w:anchor="P990" w:tooltip="12. Субсидии предоставляются организациям, соответствующим следующим критериям отбора:">
        <w:r>
          <w:rPr>
            <w:sz w:val="20"/>
            <w:color w:val="0000ff"/>
          </w:rPr>
          <w:t xml:space="preserve">12</w:t>
        </w:r>
      </w:hyperlink>
      <w:r>
        <w:rPr>
          <w:sz w:val="20"/>
        </w:rPr>
        <w:t xml:space="preserve"> Порядка;</w:t>
      </w:r>
    </w:p>
    <w:p>
      <w:pPr>
        <w:pStyle w:val="0"/>
        <w:spacing w:before="200" w:line-rule="auto"/>
        <w:ind w:firstLine="540"/>
        <w:jc w:val="both"/>
      </w:pPr>
      <w:r>
        <w:rPr>
          <w:sz w:val="20"/>
        </w:rPr>
        <w:t xml:space="preserve">8) порядок подачи организациями заявок и требования, предъявляемые к форме и содержанию заявок, в соответствии с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пунктами 13</w:t>
        </w:r>
      </w:hyperlink>
      <w:r>
        <w:rPr>
          <w:sz w:val="20"/>
        </w:rPr>
        <w:t xml:space="preserve"> - </w:t>
      </w:r>
      <w:hyperlink w:history="0" w:anchor="P1006"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9) порядок отзыва заявок, порядок их возврата, определяющий в том числе основания для возврата заявок, порядок внесения изменений в заявки в соответствии с </w:t>
      </w:r>
      <w:hyperlink w:history="0" w:anchor="P1012" w:tooltip="16. Заявка может быть отозвана организацией в любое время до даты окончания проведения отбора.">
        <w:r>
          <w:rPr>
            <w:sz w:val="20"/>
            <w:color w:val="0000ff"/>
          </w:rPr>
          <w:t xml:space="preserve">пунктом 16</w:t>
        </w:r>
      </w:hyperlink>
      <w:r>
        <w:rPr>
          <w:sz w:val="20"/>
        </w:rPr>
        <w:t xml:space="preserve"> Порядка;</w:t>
      </w:r>
    </w:p>
    <w:p>
      <w:pPr>
        <w:pStyle w:val="0"/>
        <w:spacing w:before="200" w:line-rule="auto"/>
        <w:ind w:firstLine="540"/>
        <w:jc w:val="both"/>
      </w:pPr>
      <w:r>
        <w:rPr>
          <w:sz w:val="20"/>
        </w:rPr>
        <w:t xml:space="preserve">10) правила рассмотрения и оценки заявок в соответствии с </w:t>
      </w:r>
      <w:hyperlink w:history="0" w:anchor="P1023" w:tooltip="18. Доступ министерства, комиссии к заявкам организаций открывается в системе &quot;Электронный бюджет&quot; со дня начала срока подачи заявок.">
        <w:r>
          <w:rPr>
            <w:sz w:val="20"/>
            <w:color w:val="0000ff"/>
          </w:rPr>
          <w:t xml:space="preserve">пунктами 18</w:t>
        </w:r>
      </w:hyperlink>
      <w:r>
        <w:rPr>
          <w:sz w:val="20"/>
        </w:rPr>
        <w:t xml:space="preserve"> - </w:t>
      </w:r>
      <w:hyperlink w:history="0" w:anchor="P1045" w:tooltip="20. Основаниями для отклонения заявки на стадии рассмотрения и оценки заявок являются:">
        <w:r>
          <w:rPr>
            <w:sz w:val="20"/>
            <w:color w:val="0000ff"/>
          </w:rPr>
          <w:t xml:space="preserve">20</w:t>
        </w:r>
      </w:hyperlink>
      <w:r>
        <w:rPr>
          <w:sz w:val="20"/>
        </w:rPr>
        <w:t xml:space="preserve">, </w:t>
      </w:r>
      <w:hyperlink w:history="0" w:anchor="P1054" w:tooltip="22. По результатам рассмотрения и оценки заявок комиссия принимает решение о предоставлении субсидии или об отказе в предоставлении субсидии.">
        <w:r>
          <w:rPr>
            <w:sz w:val="20"/>
            <w:color w:val="0000ff"/>
          </w:rPr>
          <w:t xml:space="preserve">22</w:t>
        </w:r>
      </w:hyperlink>
      <w:r>
        <w:rPr>
          <w:sz w:val="20"/>
        </w:rPr>
        <w:t xml:space="preserve"> - </w:t>
      </w:r>
      <w:hyperlink w:history="0" w:anchor="P1074" w:tooltip="24. В течение пяти рабочих дней со дня размещения на едином портале протокола подведения итогов министерство издает приказ о результатах отбора с указанием организаций - победителей отбора и размера предоставляемых им субсидий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w:r>
          <w:rPr>
            <w:sz w:val="20"/>
            <w:color w:val="0000ff"/>
          </w:rPr>
          <w:t xml:space="preserve">24</w:t>
        </w:r>
      </w:hyperlink>
      <w:r>
        <w:rPr>
          <w:sz w:val="20"/>
        </w:rPr>
        <w:t xml:space="preserve"> Порядка;</w:t>
      </w:r>
    </w:p>
    <w:p>
      <w:pPr>
        <w:pStyle w:val="0"/>
        <w:jc w:val="both"/>
      </w:pPr>
      <w:r>
        <w:rPr>
          <w:sz w:val="20"/>
        </w:rPr>
        <w:t xml:space="preserve">(в ред. </w:t>
      </w:r>
      <w:hyperlink w:history="0" r:id="rId29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порядок отклонения заявок, а также основания для их отклонения в соответствии с </w:t>
      </w:r>
      <w:hyperlink w:history="0" w:anchor="P1045" w:tooltip="20. Основаниями для отклонения заявки на стадии рассмотрения и оценки заявок являются:">
        <w:r>
          <w:rPr>
            <w:sz w:val="20"/>
            <w:color w:val="0000ff"/>
          </w:rPr>
          <w:t xml:space="preserve">пунктом 20</w:t>
        </w:r>
      </w:hyperlink>
      <w:r>
        <w:rPr>
          <w:sz w:val="20"/>
        </w:rPr>
        <w:t xml:space="preserve"> Порядка;</w:t>
      </w:r>
    </w:p>
    <w:p>
      <w:pPr>
        <w:pStyle w:val="0"/>
        <w:spacing w:before="200" w:line-rule="auto"/>
        <w:ind w:firstLine="540"/>
        <w:jc w:val="both"/>
      </w:pPr>
      <w:r>
        <w:rPr>
          <w:sz w:val="20"/>
        </w:rPr>
        <w:t xml:space="preserve">12) информацию об объеме распределяемой субсидии в рамках отбора, о порядке расчета размера субсидии в соответствии с </w:t>
      </w:r>
      <w:hyperlink w:history="0" w:anchor="P1090" w:tooltip="28. Размер субсидии определяется в соответствии с запрашиваемым размером субсидии, указанным в заявке организации, но не более максимального размера субсидии, установленного в объявлении о проведении отбора.">
        <w:r>
          <w:rPr>
            <w:sz w:val="20"/>
            <w:color w:val="0000ff"/>
          </w:rPr>
          <w:t xml:space="preserve">пунктом 28</w:t>
        </w:r>
      </w:hyperlink>
      <w:r>
        <w:rPr>
          <w:sz w:val="20"/>
        </w:rPr>
        <w:t xml:space="preserve"> Порядка, правилах распределения субсидии в соответствии с </w:t>
      </w:r>
      <w:hyperlink w:history="0" w:anchor="P1058" w:tooltip="23. Решение о предоставлении субсидии принимается комиссией в течение 15 рабочих дней, следующих за днем окончания приема заявок в системе &quot;Электронный бюджет&quot;, исходя из соответствия организации категории и критериям отбора, указанным в пунктах 5, 12 Порядка, и требованиям, указанным в пунктах 11, 13 - 15 Порядка.">
        <w:r>
          <w:rPr>
            <w:sz w:val="20"/>
            <w:color w:val="0000ff"/>
          </w:rPr>
          <w:t xml:space="preserve">пунктом 23</w:t>
        </w:r>
      </w:hyperlink>
      <w:r>
        <w:rPr>
          <w:sz w:val="20"/>
        </w:rPr>
        <w:t xml:space="preserve"> Порядка, максимальном размере субсидии, установленном приказом министерства;</w:t>
      </w:r>
    </w:p>
    <w:p>
      <w:pPr>
        <w:pStyle w:val="0"/>
        <w:spacing w:before="200" w:line-rule="auto"/>
        <w:ind w:firstLine="540"/>
        <w:jc w:val="both"/>
      </w:pPr>
      <w:r>
        <w:rPr>
          <w:sz w:val="20"/>
        </w:rPr>
        <w:t xml:space="preserve">13) порядок предоставления организациям разъяснений положений объявления о проведении отбора, даты начала и окончания срока такого предоставления;</w:t>
      </w:r>
    </w:p>
    <w:p>
      <w:pPr>
        <w:pStyle w:val="0"/>
        <w:jc w:val="both"/>
      </w:pPr>
      <w:r>
        <w:rPr>
          <w:sz w:val="20"/>
        </w:rPr>
        <w:t xml:space="preserve">(в ред. </w:t>
      </w:r>
      <w:hyperlink w:history="0" r:id="rId29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срок, в течение которого организация - победитель отбора должна подписать соглашение;</w:t>
      </w:r>
    </w:p>
    <w:p>
      <w:pPr>
        <w:pStyle w:val="0"/>
        <w:spacing w:before="200" w:line-rule="auto"/>
        <w:ind w:firstLine="540"/>
        <w:jc w:val="both"/>
      </w:pPr>
      <w:r>
        <w:rPr>
          <w:sz w:val="20"/>
        </w:rPr>
        <w:t xml:space="preserve">15) условия признания организаций - победителей отбора уклонившимися от заключения соглашения;</w:t>
      </w:r>
    </w:p>
    <w:p>
      <w:pPr>
        <w:pStyle w:val="0"/>
        <w:spacing w:before="200" w:line-rule="auto"/>
        <w:ind w:firstLine="540"/>
        <w:jc w:val="both"/>
      </w:pPr>
      <w:r>
        <w:rPr>
          <w:sz w:val="20"/>
        </w:rPr>
        <w:t xml:space="preserve">16) сроки размещения протокола подведения итогов отбора на едином портале и на официальном сайте министерства в сети "Интернет", которые не могут быть позднее 14-го календарного дня, следующего за днем определения победителя отбора.</w:t>
      </w:r>
    </w:p>
    <w:p>
      <w:pPr>
        <w:pStyle w:val="0"/>
        <w:jc w:val="both"/>
      </w:pPr>
      <w:r>
        <w:rPr>
          <w:sz w:val="20"/>
        </w:rPr>
        <w:t xml:space="preserve">(пп. 16 в ред. </w:t>
      </w:r>
      <w:hyperlink w:history="0" r:id="rId29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10.1. Министерство не позднее наступления даты окончания приема заявок может внести изменения в объявление о проведении отбора с соблюдением следующих условий:</w:t>
      </w:r>
    </w:p>
    <w:p>
      <w:pPr>
        <w:pStyle w:val="0"/>
        <w:spacing w:before="200" w:line-rule="auto"/>
        <w:ind w:firstLine="540"/>
        <w:jc w:val="both"/>
      </w:pPr>
      <w:r>
        <w:rPr>
          <w:sz w:val="20"/>
        </w:rPr>
        <w:t xml:space="preserve">срок подачи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трех календарных дней;</w:t>
      </w:r>
    </w:p>
    <w:p>
      <w:pPr>
        <w:pStyle w:val="0"/>
        <w:spacing w:before="200" w:line-rule="auto"/>
        <w:ind w:firstLine="540"/>
        <w:jc w:val="both"/>
      </w:pPr>
      <w:r>
        <w:rPr>
          <w:sz w:val="20"/>
        </w:rPr>
        <w:t xml:space="preserve">при внесении изменений в объявление о проведении отбора не допускается изменение способа отбора;</w:t>
      </w:r>
    </w:p>
    <w:p>
      <w:pPr>
        <w:pStyle w:val="0"/>
        <w:spacing w:before="200" w:line-rule="auto"/>
        <w:ind w:firstLine="540"/>
        <w:jc w:val="both"/>
      </w:pPr>
      <w:r>
        <w:rPr>
          <w:sz w:val="20"/>
        </w:rPr>
        <w:t xml:space="preserve">в случае внесения изменений в объявление о проведении отбора после наступления даты начала приема заявок в объявление о проведении отбора включается положение, предусматривающее право организаций на внесение изменений в заявки;</w:t>
      </w:r>
    </w:p>
    <w:p>
      <w:pPr>
        <w:pStyle w:val="0"/>
        <w:spacing w:before="200" w:line-rule="auto"/>
        <w:ind w:firstLine="540"/>
        <w:jc w:val="both"/>
      </w:pPr>
      <w:r>
        <w:rPr>
          <w:sz w:val="20"/>
        </w:rPr>
        <w:t xml:space="preserve">организации,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pPr>
        <w:pStyle w:val="0"/>
        <w:jc w:val="both"/>
      </w:pPr>
      <w:r>
        <w:rPr>
          <w:sz w:val="20"/>
        </w:rPr>
        <w:t xml:space="preserve">(п. 10.1 введен </w:t>
      </w:r>
      <w:hyperlink w:history="0" r:id="rId29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979" w:name="P979"/>
    <w:bookmarkEnd w:id="979"/>
    <w:p>
      <w:pPr>
        <w:pStyle w:val="0"/>
        <w:spacing w:before="200" w:line-rule="auto"/>
        <w:ind w:firstLine="540"/>
        <w:jc w:val="both"/>
      </w:pPr>
      <w:r>
        <w:rPr>
          <w:sz w:val="20"/>
        </w:rPr>
        <w:t xml:space="preserve">11. Организация должна соответствовать следующим требованиям:</w:t>
      </w:r>
    </w:p>
    <w:p>
      <w:pPr>
        <w:pStyle w:val="0"/>
        <w:spacing w:before="200" w:line-rule="auto"/>
        <w:ind w:firstLine="540"/>
        <w:jc w:val="both"/>
      </w:pPr>
      <w:r>
        <w:rPr>
          <w:sz w:val="20"/>
        </w:rPr>
        <w:t xml:space="preserve">1) на дату подачи заявки:</w:t>
      </w:r>
    </w:p>
    <w:p>
      <w:pPr>
        <w:pStyle w:val="0"/>
        <w:spacing w:before="200" w:line-rule="auto"/>
        <w:ind w:firstLine="540"/>
        <w:jc w:val="both"/>
      </w:pPr>
      <w:r>
        <w:rPr>
          <w:sz w:val="20"/>
        </w:rPr>
        <w:t xml:space="preserve">а) организация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pPr>
        <w:pStyle w:val="0"/>
        <w:spacing w:before="200" w:line-rule="auto"/>
        <w:ind w:firstLine="540"/>
        <w:jc w:val="both"/>
      </w:pPr>
      <w:r>
        <w:rPr>
          <w:sz w:val="20"/>
        </w:rPr>
        <w:t xml:space="preserve">б) организация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pPr>
        <w:pStyle w:val="0"/>
        <w:spacing w:before="200" w:line-rule="auto"/>
        <w:ind w:firstLine="540"/>
        <w:jc w:val="both"/>
      </w:pPr>
      <w:r>
        <w:rPr>
          <w:sz w:val="20"/>
        </w:rPr>
        <w:t xml:space="preserve">в) организация не находится в составляемых в рамках реализации полномочий, предусмотренных </w:t>
      </w:r>
      <w:hyperlink w:history="0" r:id="rId299" w:tooltip="&quot;Раздел I. Понятие международного права, его сущность и роль в международных отношениях, политике и дипломатии. 1. Устав Организации Объединенных Наций&quot; (Принят в г. Сан-Франциско 26.06.1945) (с изм. и доп. от 20.12.1971) {КонсультантПлюс}">
        <w:r>
          <w:rPr>
            <w:sz w:val="20"/>
            <w:color w:val="0000ff"/>
          </w:rPr>
          <w:t xml:space="preserve">главой VII</w:t>
        </w:r>
      </w:hyperlink>
      <w:r>
        <w:rPr>
          <w:sz w:val="20"/>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pPr>
        <w:pStyle w:val="0"/>
        <w:spacing w:before="200" w:line-rule="auto"/>
        <w:ind w:firstLine="540"/>
        <w:jc w:val="both"/>
      </w:pPr>
      <w:r>
        <w:rPr>
          <w:sz w:val="20"/>
        </w:rPr>
        <w:t xml:space="preserve">г) организация не получает средства из областного бюджета на основании иных нормативных правовых актов Новосибирской области на цели, установленные </w:t>
      </w:r>
      <w:hyperlink w:history="0" w:anchor="P902" w:tooltip="4. Субсидии предоставляются министерством в целях финансового обеспечения затрат при выполнении мероприятий, предусмотренных государственной программой, по организации и проведению поисковых работ по выявлению неизвестных воинских захоронений и непогребенных останков воинов, погибших при защите Отечества (далее - мероприятия по организации и проведению поисковых работ).">
        <w:r>
          <w:rPr>
            <w:sz w:val="20"/>
            <w:color w:val="0000ff"/>
          </w:rPr>
          <w:t xml:space="preserve">пунктом 4</w:t>
        </w:r>
      </w:hyperlink>
      <w:r>
        <w:rPr>
          <w:sz w:val="20"/>
        </w:rPr>
        <w:t xml:space="preserve"> Порядка;</w:t>
      </w:r>
    </w:p>
    <w:p>
      <w:pPr>
        <w:pStyle w:val="0"/>
        <w:spacing w:before="200" w:line-rule="auto"/>
        <w:ind w:firstLine="540"/>
        <w:jc w:val="both"/>
      </w:pPr>
      <w:r>
        <w:rPr>
          <w:sz w:val="20"/>
        </w:rPr>
        <w:t xml:space="preserve">д) организация не является иностранным агентом в соответствии с Федеральным </w:t>
      </w:r>
      <w:hyperlink w:history="0" r:id="rId300"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законом</w:t>
        </w:r>
      </w:hyperlink>
      <w:r>
        <w:rPr>
          <w:sz w:val="20"/>
        </w:rPr>
        <w:t xml:space="preserve"> от 14.07.2022 N 255-ФЗ "О контроле за деятельностью лиц, находящихся под иностранным влиянием";</w:t>
      </w:r>
    </w:p>
    <w:p>
      <w:pPr>
        <w:pStyle w:val="0"/>
        <w:spacing w:before="200" w:line-rule="auto"/>
        <w:ind w:firstLine="540"/>
        <w:jc w:val="both"/>
      </w:pPr>
      <w:r>
        <w:rPr>
          <w:sz w:val="20"/>
        </w:rPr>
        <w:t xml:space="preserve">е) у организации отсутствуют просроченная задолженность по возврату в областной бюджет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pPr>
        <w:pStyle w:val="0"/>
        <w:spacing w:before="200" w:line-rule="auto"/>
        <w:ind w:firstLine="540"/>
        <w:jc w:val="both"/>
      </w:pPr>
      <w:r>
        <w:rPr>
          <w:sz w:val="20"/>
        </w:rPr>
        <w:t xml:space="preserve">ж) организация не находится в процессе реорганизации (за исключением реорганизации в форме присоединения организации другого юридического лица), ликвидации, в отношении нее не введена процедура банкротства, деятельность организации не приостановлена в порядке, предусмотренном законодательством Российской Федерации;</w:t>
      </w:r>
    </w:p>
    <w:p>
      <w:pPr>
        <w:pStyle w:val="0"/>
        <w:spacing w:before="200" w:line-rule="auto"/>
        <w:ind w:firstLine="540"/>
        <w:jc w:val="both"/>
      </w:pPr>
      <w:r>
        <w:rPr>
          <w:sz w:val="20"/>
        </w:rPr>
        <w:t xml:space="preserve">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организации;</w:t>
      </w:r>
    </w:p>
    <w:p>
      <w:pPr>
        <w:pStyle w:val="0"/>
        <w:spacing w:before="200" w:line-rule="auto"/>
        <w:ind w:firstLine="540"/>
        <w:jc w:val="both"/>
      </w:pPr>
      <w:r>
        <w:rPr>
          <w:sz w:val="20"/>
        </w:rPr>
        <w:t xml:space="preserve">2) на дату не ранее начала срока подачи заявки у организации на едином налоговом счете отсутствует или не превышает размер, определенный </w:t>
      </w:r>
      <w:hyperlink w:history="0" r:id="rId301" w:tooltip="&quot;Налоговый кодекс Российской Федерации (часть первая)&quot; от 31.07.1998 N 146-ФЗ (ред. от 29.11.2024, с изм. от 21.01.2025) (с изм. и доп., вступ. в силу с 05.02.2025) {КонсультантПлюс}">
        <w:r>
          <w:rPr>
            <w:sz w:val="20"/>
            <w:color w:val="0000ff"/>
          </w:rPr>
          <w:t xml:space="preserve">пунктом 3 статьи 47</w:t>
        </w:r>
      </w:hyperlink>
      <w:r>
        <w:rPr>
          <w:sz w:val="20"/>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bookmarkStart w:id="990" w:name="P990"/>
    <w:bookmarkEnd w:id="990"/>
    <w:p>
      <w:pPr>
        <w:pStyle w:val="0"/>
        <w:spacing w:before="200" w:line-rule="auto"/>
        <w:ind w:firstLine="540"/>
        <w:jc w:val="both"/>
      </w:pPr>
      <w:r>
        <w:rPr>
          <w:sz w:val="20"/>
        </w:rPr>
        <w:t xml:space="preserve">12. Субсидии предоставляются организациям, соответствующим следующим критериям отбора:</w:t>
      </w:r>
    </w:p>
    <w:p>
      <w:pPr>
        <w:pStyle w:val="0"/>
        <w:spacing w:before="200" w:line-rule="auto"/>
        <w:ind w:firstLine="540"/>
        <w:jc w:val="both"/>
      </w:pPr>
      <w:r>
        <w:rPr>
          <w:sz w:val="20"/>
        </w:rPr>
        <w:t xml:space="preserve">1) организация (поисковый отряд в составе организации) должна быть включена в план проведения поисковых работ на текущий год, согласованный с Министерством обороны Российской Федерации в соответствии с </w:t>
      </w:r>
      <w:hyperlink w:history="0" r:id="rId302" w:tooltip="Приказ Министра обороны РФ от 19.11.2014 N 845 &quot;Об утверждении Порядка организации и проведения поисковой работы общественно-государственными объединениями, общественными объединениями, уполномоченными на проведение такой работы, осуществляемой в целях выявления неизвестных воинских захоронений и непогребенных останков, установления имен погибших и пропавших без вести при защите Отечества и увековечения их памяти&quot; (Зарегистрировано в Минюсте России 09.02.2015 N 35923) {КонсультантПлюс}">
        <w:r>
          <w:rPr>
            <w:sz w:val="20"/>
            <w:color w:val="0000ff"/>
          </w:rPr>
          <w:t xml:space="preserve">приказом</w:t>
        </w:r>
      </w:hyperlink>
      <w:r>
        <w:rPr>
          <w:sz w:val="20"/>
        </w:rPr>
        <w:t xml:space="preserve"> Министра обороны Российской Федерации от 19.11.2014 N 845 "Об утверждении Порядка организации и проведения поисковой работы общественно-государственными объединениями, общественными объединениями, уполномоченными на проведение такой работы, осуществляемой в целях выявления неизвестных воинских захоронений и непогребенных останков, установления имен погибших и пропавших без вести при защите Отечества и увековечения их памяти" (далее - приказ Минобороны России от 19.11.2014 N 845);</w:t>
      </w:r>
    </w:p>
    <w:p>
      <w:pPr>
        <w:pStyle w:val="0"/>
        <w:spacing w:before="200" w:line-rule="auto"/>
        <w:ind w:firstLine="540"/>
        <w:jc w:val="both"/>
      </w:pPr>
      <w:r>
        <w:rPr>
          <w:sz w:val="20"/>
        </w:rPr>
        <w:t xml:space="preserve">2) наличие у организации материальных ресурсов (оборудование, техника, транспортные средства и иные собственные или привлеченные материальные ресурсы), необходимых для реализации мероприятий по организации и проведению поисковых работ;</w:t>
      </w:r>
    </w:p>
    <w:p>
      <w:pPr>
        <w:pStyle w:val="0"/>
        <w:spacing w:before="200" w:line-rule="auto"/>
        <w:ind w:firstLine="540"/>
        <w:jc w:val="both"/>
      </w:pPr>
      <w:r>
        <w:rPr>
          <w:sz w:val="20"/>
        </w:rPr>
        <w:t xml:space="preserve">3) соответствие закрепленных в учредительных документах видов деятельности организации виду деятельности, указанному в </w:t>
      </w:r>
      <w:hyperlink w:history="0" w:anchor="P902" w:tooltip="4. Субсидии предоставляются министерством в целях финансового обеспечения затрат при выполнении мероприятий, предусмотренных государственной программой, по организации и проведению поисковых работ по выявлению неизвестных воинских захоронений и непогребенных останков воинов, погибших при защите Отечества (далее - мероприятия по организации и проведению поисковых работ).">
        <w:r>
          <w:rPr>
            <w:sz w:val="20"/>
            <w:color w:val="0000ff"/>
          </w:rPr>
          <w:t xml:space="preserve">абзаце первом пункта 4</w:t>
        </w:r>
      </w:hyperlink>
      <w:r>
        <w:rPr>
          <w:sz w:val="20"/>
        </w:rPr>
        <w:t xml:space="preserve"> Порядка.</w:t>
      </w:r>
    </w:p>
    <w:bookmarkStart w:id="994" w:name="P994"/>
    <w:bookmarkEnd w:id="994"/>
    <w:p>
      <w:pPr>
        <w:pStyle w:val="0"/>
        <w:spacing w:before="200" w:line-rule="auto"/>
        <w:ind w:firstLine="540"/>
        <w:jc w:val="both"/>
      </w:pPr>
      <w:r>
        <w:rPr>
          <w:sz w:val="20"/>
        </w:rPr>
        <w:t xml:space="preserve">13. Заявка формируется организациями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w:t>
      </w:r>
    </w:p>
    <w:p>
      <w:pPr>
        <w:pStyle w:val="0"/>
        <w:spacing w:before="200" w:line-rule="auto"/>
        <w:ind w:firstLine="540"/>
        <w:jc w:val="both"/>
      </w:pPr>
      <w:r>
        <w:rPr>
          <w:sz w:val="20"/>
        </w:rPr>
        <w:t xml:space="preserve">1) согласие на обработку персональных данных физических лиц, если информация (в том числе документы), включенная в состав заявки, содержит такие данные;</w:t>
      </w:r>
    </w:p>
    <w:p>
      <w:pPr>
        <w:pStyle w:val="0"/>
        <w:spacing w:before="200" w:line-rule="auto"/>
        <w:ind w:firstLine="540"/>
        <w:jc w:val="both"/>
      </w:pPr>
      <w:r>
        <w:rPr>
          <w:sz w:val="20"/>
        </w:rPr>
        <w:t xml:space="preserve">2) справку о вкладе организации в реализацию мероприятий по организации и проведению поисковых работ (оборудование, техника, транспортные средства и иные собственные и (или) привлеченные материальные ресурсы);</w:t>
      </w:r>
    </w:p>
    <w:p>
      <w:pPr>
        <w:pStyle w:val="0"/>
        <w:spacing w:before="200" w:line-rule="auto"/>
        <w:ind w:firstLine="540"/>
        <w:jc w:val="both"/>
      </w:pPr>
      <w:r>
        <w:rPr>
          <w:sz w:val="20"/>
        </w:rPr>
        <w:t xml:space="preserve">3) копию согласованного Министерством обороны Российской Федерации плана проведения поисковых работ на соответствующий год;</w:t>
      </w:r>
    </w:p>
    <w:p>
      <w:pPr>
        <w:pStyle w:val="0"/>
        <w:spacing w:before="200" w:line-rule="auto"/>
        <w:ind w:firstLine="540"/>
        <w:jc w:val="both"/>
      </w:pPr>
      <w:r>
        <w:rPr>
          <w:sz w:val="20"/>
        </w:rPr>
        <w:t xml:space="preserve">4) копии документов, подтверждающих полномочия лица на подачу заявки от имени организации, в случае, если заявку подает лицо, сведения о котором как о лице, имеющем право без доверенности действовать от имени организации, не содержатся в едином государственном реестре юридических лиц (далее - уполномоченное лицо), заверенные печатью (при наличии) организации и подписью руководителя организации или уполномоченного лица;</w:t>
      </w:r>
    </w:p>
    <w:p>
      <w:pPr>
        <w:pStyle w:val="0"/>
        <w:spacing w:before="200" w:line-rule="auto"/>
        <w:ind w:firstLine="540"/>
        <w:jc w:val="both"/>
      </w:pPr>
      <w:r>
        <w:rPr>
          <w:sz w:val="20"/>
        </w:rPr>
        <w:t xml:space="preserve">5) копию действующей редакции устава организации;</w:t>
      </w:r>
    </w:p>
    <w:p>
      <w:pPr>
        <w:pStyle w:val="0"/>
        <w:spacing w:before="200" w:line-rule="auto"/>
        <w:ind w:firstLine="540"/>
        <w:jc w:val="both"/>
      </w:pPr>
      <w:r>
        <w:rPr>
          <w:sz w:val="20"/>
        </w:rPr>
        <w:t xml:space="preserve">6) справку о банковских реквизитах организации, выданную банком или иной кредитной организацией.</w:t>
      </w:r>
    </w:p>
    <w:p>
      <w:pPr>
        <w:pStyle w:val="0"/>
        <w:spacing w:before="200" w:line-rule="auto"/>
        <w:ind w:firstLine="540"/>
        <w:jc w:val="both"/>
      </w:pPr>
      <w:r>
        <w:rPr>
          <w:sz w:val="20"/>
        </w:rPr>
        <w:t xml:space="preserve">Ответственность за достоверность и полноту представляемых документов и содержащихся в них сведений возлагается на организацию.</w:t>
      </w:r>
    </w:p>
    <w:p>
      <w:pPr>
        <w:pStyle w:val="0"/>
        <w:spacing w:before="200" w:line-rule="auto"/>
        <w:ind w:firstLine="540"/>
        <w:jc w:val="both"/>
      </w:pPr>
      <w:r>
        <w:rPr>
          <w:sz w:val="20"/>
        </w:rPr>
        <w:t xml:space="preserve">Заявка подписывается усиленной квалифицированной электронной подписью руководителя организации или уполномоченного им лица.</w:t>
      </w:r>
    </w:p>
    <w:p>
      <w:pPr>
        <w:pStyle w:val="0"/>
        <w:spacing w:before="200" w:line-rule="auto"/>
        <w:ind w:firstLine="540"/>
        <w:jc w:val="both"/>
      </w:pPr>
      <w:r>
        <w:rPr>
          <w:sz w:val="20"/>
        </w:rPr>
        <w:t xml:space="preserve">Датой и временем представления организацией заявки считаются дата и время подписания указанной заявки с присвоением ей регистрационного номера в системе "Электронный бюджет".</w:t>
      </w:r>
    </w:p>
    <w:p>
      <w:pPr>
        <w:pStyle w:val="0"/>
        <w:jc w:val="both"/>
      </w:pPr>
      <w:r>
        <w:rPr>
          <w:sz w:val="20"/>
        </w:rPr>
        <w:t xml:space="preserve">(п. 13 в ред. </w:t>
      </w:r>
      <w:hyperlink w:history="0" r:id="rId30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Одна организация в рамках отбора может подать не более одной заявки.</w:t>
      </w:r>
    </w:p>
    <w:bookmarkStart w:id="1006" w:name="P1006"/>
    <w:bookmarkEnd w:id="1006"/>
    <w:p>
      <w:pPr>
        <w:pStyle w:val="0"/>
        <w:spacing w:before="200" w:line-rule="auto"/>
        <w:ind w:firstLine="540"/>
        <w:jc w:val="both"/>
      </w:pPr>
      <w:r>
        <w:rPr>
          <w:sz w:val="20"/>
        </w:rPr>
        <w:t xml:space="preserve">15. Заявка и документы, указанные в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пункте 13</w:t>
        </w:r>
      </w:hyperlink>
      <w:r>
        <w:rPr>
          <w:sz w:val="20"/>
        </w:rPr>
        <w:t xml:space="preserve"> Порядка, должны соответствовать следующим требованиям:</w:t>
      </w:r>
    </w:p>
    <w:p>
      <w:pPr>
        <w:pStyle w:val="0"/>
        <w:jc w:val="both"/>
      </w:pPr>
      <w:r>
        <w:rPr>
          <w:sz w:val="20"/>
        </w:rPr>
        <w:t xml:space="preserve">(в ред. </w:t>
      </w:r>
      <w:hyperlink w:history="0" r:id="rId30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быть хорошо читаемы, преобразованы в электронную форму в формате DOC и (или) PDF путем сканирования документа на бумажном носителе с передачей цвета;</w:t>
      </w:r>
    </w:p>
    <w:p>
      <w:pPr>
        <w:pStyle w:val="0"/>
        <w:spacing w:before="200" w:line-rule="auto"/>
        <w:ind w:firstLine="540"/>
        <w:jc w:val="both"/>
      </w:pPr>
      <w:r>
        <w:rPr>
          <w:sz w:val="20"/>
        </w:rPr>
        <w:t xml:space="preserve">2) файл должен содержать один полный документ (сканировать документы необходимо целиком, а не постранично);</w:t>
      </w:r>
    </w:p>
    <w:p>
      <w:pPr>
        <w:pStyle w:val="0"/>
        <w:spacing w:before="200" w:line-rule="auto"/>
        <w:ind w:firstLine="540"/>
        <w:jc w:val="both"/>
      </w:pPr>
      <w:r>
        <w:rPr>
          <w:sz w:val="20"/>
        </w:rPr>
        <w:t xml:space="preserve">3) название файла должно совпадать с заголовком документа или давать ясное понимание назначения документа.</w:t>
      </w:r>
    </w:p>
    <w:p>
      <w:pPr>
        <w:pStyle w:val="0"/>
        <w:spacing w:before="200" w:line-rule="auto"/>
        <w:ind w:firstLine="540"/>
        <w:jc w:val="both"/>
      </w:pPr>
      <w:r>
        <w:rPr>
          <w:sz w:val="20"/>
        </w:rPr>
        <w:t xml:space="preserve">Абзац утратил силу. - </w:t>
      </w:r>
      <w:hyperlink w:history="0" r:id="rId30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1012" w:name="P1012"/>
    <w:bookmarkEnd w:id="1012"/>
    <w:p>
      <w:pPr>
        <w:pStyle w:val="0"/>
        <w:spacing w:before="200" w:line-rule="auto"/>
        <w:ind w:firstLine="540"/>
        <w:jc w:val="both"/>
      </w:pPr>
      <w:r>
        <w:rPr>
          <w:sz w:val="20"/>
        </w:rPr>
        <w:t xml:space="preserve">16. Заявка может быть отозвана организацией в любое время до даты окончания проведения отбора.</w:t>
      </w:r>
    </w:p>
    <w:p>
      <w:pPr>
        <w:pStyle w:val="0"/>
        <w:spacing w:before="200" w:line-rule="auto"/>
        <w:ind w:firstLine="540"/>
        <w:jc w:val="both"/>
      </w:pPr>
      <w:r>
        <w:rPr>
          <w:sz w:val="20"/>
        </w:rPr>
        <w:t xml:space="preserve">Внесение изменений в заявку допускается до окончания срока приема заявок через систему "Электронный бюджет".</w:t>
      </w:r>
    </w:p>
    <w:p>
      <w:pPr>
        <w:pStyle w:val="0"/>
        <w:spacing w:before="200" w:line-rule="auto"/>
        <w:ind w:firstLine="540"/>
        <w:jc w:val="both"/>
      </w:pPr>
      <w:r>
        <w:rPr>
          <w:sz w:val="20"/>
        </w:rPr>
        <w:t xml:space="preserve">Возврат заявки на доработку допускается в случае необходимости представления для включения в ее состав дополнительной информации (в том числе документов), исправления описок, опечаток, орфографических и арифметических ошибок, допущенных в документах в составе заявки.</w:t>
      </w:r>
    </w:p>
    <w:p>
      <w:pPr>
        <w:pStyle w:val="0"/>
        <w:spacing w:before="200" w:line-rule="auto"/>
        <w:ind w:firstLine="540"/>
        <w:jc w:val="both"/>
      </w:pPr>
      <w:r>
        <w:rPr>
          <w:sz w:val="20"/>
        </w:rPr>
        <w:t xml:space="preserve">Изменения в заявку вносятся и регистрируются в соответствии с процедурой подачи заявок. Датой представления изменений в заявку считается день подписания организацией изменений в заявку в системе "Электронный бюджет".</w:t>
      </w:r>
    </w:p>
    <w:p>
      <w:pPr>
        <w:pStyle w:val="0"/>
        <w:spacing w:before="200" w:line-rule="auto"/>
        <w:ind w:firstLine="540"/>
        <w:jc w:val="both"/>
      </w:pPr>
      <w:r>
        <w:rPr>
          <w:sz w:val="20"/>
        </w:rPr>
        <w:t xml:space="preserve">Отозванные заявки не учитываются при определении количества поданных заявок.</w:t>
      </w:r>
    </w:p>
    <w:p>
      <w:pPr>
        <w:pStyle w:val="0"/>
        <w:jc w:val="both"/>
      </w:pPr>
      <w:r>
        <w:rPr>
          <w:sz w:val="20"/>
        </w:rPr>
        <w:t xml:space="preserve">(п. 16 в ред. </w:t>
      </w:r>
      <w:hyperlink w:history="0" r:id="rId30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17. Организации со дня размещения объявления о проведении отбора и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отбора путем формирования в системе "Электронный бюджет" соответствующего запроса.</w:t>
      </w:r>
    </w:p>
    <w:bookmarkStart w:id="1019" w:name="P1019"/>
    <w:bookmarkEnd w:id="1019"/>
    <w:p>
      <w:pPr>
        <w:pStyle w:val="0"/>
        <w:spacing w:before="200" w:line-rule="auto"/>
        <w:ind w:firstLine="540"/>
        <w:jc w:val="both"/>
      </w:pPr>
      <w:r>
        <w:rPr>
          <w:sz w:val="20"/>
        </w:rPr>
        <w:t xml:space="preserve">Министерство в течение трех рабочих дней со дня получения запроса, но не позднее одного рабочего дня до дня завершения подачи заявок направляет ответ организации по предмету запроса путем формирования в системе "Электронный бюджет" соответствующего разъяснения.</w:t>
      </w:r>
    </w:p>
    <w:p>
      <w:pPr>
        <w:pStyle w:val="0"/>
        <w:spacing w:before="200" w:line-rule="auto"/>
        <w:ind w:firstLine="540"/>
        <w:jc w:val="both"/>
      </w:pPr>
      <w:r>
        <w:rPr>
          <w:sz w:val="20"/>
        </w:rPr>
        <w:t xml:space="preserve">Представленное министерством разъяснение положений объявления о проведении отбора не должно изменять суть информации, содержащейся в указанном объявлении.</w:t>
      </w:r>
    </w:p>
    <w:p>
      <w:pPr>
        <w:pStyle w:val="0"/>
        <w:spacing w:before="200" w:line-rule="auto"/>
        <w:ind w:firstLine="540"/>
        <w:jc w:val="both"/>
      </w:pPr>
      <w:r>
        <w:rPr>
          <w:sz w:val="20"/>
        </w:rPr>
        <w:t xml:space="preserve">Доступ к разъяснению, формируемому в системе "Электронный бюджет" в соответствии с </w:t>
      </w:r>
      <w:hyperlink w:history="0" w:anchor="P1019" w:tooltip="Министерство в течение трех рабочих дней со дня получения запроса, но не позднее одного рабочего дня до дня завершения подачи заявок направляет ответ организации по предмету запроса путем формирования в системе &quot;Электронный бюджет&quot; соответствующего разъяснения.">
        <w:r>
          <w:rPr>
            <w:sz w:val="20"/>
            <w:color w:val="0000ff"/>
          </w:rPr>
          <w:t xml:space="preserve">абзацем вторым</w:t>
        </w:r>
      </w:hyperlink>
      <w:r>
        <w:rPr>
          <w:sz w:val="20"/>
        </w:rPr>
        <w:t xml:space="preserve"> настоящего пункта, предоставляется всем участникам отбора.</w:t>
      </w:r>
    </w:p>
    <w:p>
      <w:pPr>
        <w:pStyle w:val="0"/>
        <w:jc w:val="both"/>
      </w:pPr>
      <w:r>
        <w:rPr>
          <w:sz w:val="20"/>
        </w:rPr>
        <w:t xml:space="preserve">(п. 17 в ред. </w:t>
      </w:r>
      <w:hyperlink w:history="0" r:id="rId30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023" w:name="P1023"/>
    <w:bookmarkEnd w:id="1023"/>
    <w:p>
      <w:pPr>
        <w:pStyle w:val="0"/>
        <w:spacing w:before="200" w:line-rule="auto"/>
        <w:ind w:firstLine="540"/>
        <w:jc w:val="both"/>
      </w:pPr>
      <w:r>
        <w:rPr>
          <w:sz w:val="20"/>
        </w:rPr>
        <w:t xml:space="preserve">18. Доступ министерства, комиссии к заявкам организаций открывается в системе "Электронный бюджет" со дня начала срока подачи заявок.</w:t>
      </w:r>
    </w:p>
    <w:p>
      <w:pPr>
        <w:pStyle w:val="0"/>
        <w:spacing w:before="200" w:line-rule="auto"/>
        <w:ind w:firstLine="540"/>
        <w:jc w:val="both"/>
      </w:pPr>
      <w:r>
        <w:rPr>
          <w:sz w:val="20"/>
        </w:rPr>
        <w:t xml:space="preserve">Протокол вскрытия заявок формируется на едином портале автоматически и подписывается усиленной квалифицированной электронной подписью председателя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jc w:val="both"/>
      </w:pPr>
      <w:r>
        <w:rPr>
          <w:sz w:val="20"/>
        </w:rPr>
        <w:t xml:space="preserve">(п. 18 в ред. </w:t>
      </w:r>
      <w:hyperlink w:history="0" r:id="rId30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026" w:name="P1026"/>
    <w:bookmarkEnd w:id="1026"/>
    <w:p>
      <w:pPr>
        <w:pStyle w:val="0"/>
        <w:spacing w:before="200" w:line-rule="auto"/>
        <w:ind w:firstLine="540"/>
        <w:jc w:val="both"/>
      </w:pPr>
      <w:r>
        <w:rPr>
          <w:sz w:val="20"/>
        </w:rPr>
        <w:t xml:space="preserve">18.1. Проверка организации на соответствие требованиям, указанным в </w:t>
      </w:r>
      <w:hyperlink w:history="0" w:anchor="P979" w:tooltip="11. Организация должна соответствовать следующим требованиям:">
        <w:r>
          <w:rPr>
            <w:sz w:val="20"/>
            <w:color w:val="0000ff"/>
          </w:rPr>
          <w:t xml:space="preserve">пункте 11</w:t>
        </w:r>
      </w:hyperlink>
      <w:r>
        <w:rPr>
          <w:sz w:val="20"/>
        </w:rPr>
        <w:t xml:space="preserve">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pPr>
        <w:pStyle w:val="0"/>
        <w:spacing w:before="200" w:line-rule="auto"/>
        <w:ind w:firstLine="540"/>
        <w:jc w:val="both"/>
      </w:pPr>
      <w:r>
        <w:rPr>
          <w:sz w:val="20"/>
        </w:rPr>
        <w:t xml:space="preserve">Подтверждение соответствия организации требованиям, установленным </w:t>
      </w:r>
      <w:hyperlink w:history="0" w:anchor="P979" w:tooltip="11. Организация должна соответствовать следующим требованиям:">
        <w:r>
          <w:rPr>
            <w:sz w:val="20"/>
            <w:color w:val="0000ff"/>
          </w:rPr>
          <w:t xml:space="preserve">пунктом 11</w:t>
        </w:r>
      </w:hyperlink>
      <w:r>
        <w:rPr>
          <w:sz w:val="20"/>
        </w:rPr>
        <w:t xml:space="preserve"> Порядка, в случае отсутствия технической возможности осуществления автоматической проверки в системе "Электронный бюджет" осуществляется путем проставления организацией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pPr>
        <w:pStyle w:val="0"/>
        <w:jc w:val="both"/>
      </w:pPr>
      <w:r>
        <w:rPr>
          <w:sz w:val="20"/>
        </w:rPr>
        <w:t xml:space="preserve">(п. 18.1 введен </w:t>
      </w:r>
      <w:hyperlink w:history="0" r:id="rId30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029" w:name="P1029"/>
    <w:bookmarkEnd w:id="1029"/>
    <w:p>
      <w:pPr>
        <w:pStyle w:val="0"/>
        <w:spacing w:before="200" w:line-rule="auto"/>
        <w:ind w:firstLine="540"/>
        <w:jc w:val="both"/>
      </w:pPr>
      <w:r>
        <w:rPr>
          <w:sz w:val="20"/>
        </w:rPr>
        <w:t xml:space="preserve">19. Министерство на стадии проверки документов организации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w:t>
      </w:r>
    </w:p>
    <w:p>
      <w:pPr>
        <w:pStyle w:val="0"/>
        <w:jc w:val="both"/>
      </w:pPr>
      <w:r>
        <w:rPr>
          <w:sz w:val="20"/>
        </w:rPr>
        <w:t xml:space="preserve">(в ред. </w:t>
      </w:r>
      <w:hyperlink w:history="0" r:id="rId31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pPr>
        <w:pStyle w:val="0"/>
        <w:jc w:val="both"/>
      </w:pPr>
      <w:r>
        <w:rPr>
          <w:sz w:val="20"/>
        </w:rPr>
        <w:t xml:space="preserve">(в ред. </w:t>
      </w:r>
      <w:hyperlink w:history="0" r:id="rId31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содержащиеся в Едином государственном реестре юридических лиц;</w:t>
      </w:r>
    </w:p>
    <w:p>
      <w:pPr>
        <w:pStyle w:val="0"/>
        <w:jc w:val="both"/>
      </w:pPr>
      <w:r>
        <w:rPr>
          <w:sz w:val="20"/>
        </w:rPr>
        <w:t xml:space="preserve">(пп. 2 в ред. </w:t>
      </w:r>
      <w:hyperlink w:history="0" r:id="rId31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содержащиеся в реестре дисквалифицированных лиц о конкретном дисквалифицированном лице либо информации об отсутствии запрашиваемых сведений;</w:t>
      </w:r>
    </w:p>
    <w:p>
      <w:pPr>
        <w:pStyle w:val="0"/>
        <w:jc w:val="both"/>
      </w:pPr>
      <w:r>
        <w:rPr>
          <w:sz w:val="20"/>
        </w:rPr>
        <w:t xml:space="preserve">(в ред. </w:t>
      </w:r>
      <w:hyperlink w:history="0" r:id="rId31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4) содержащиеся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связанных с террористическими организациями и террористами или с распространением оружия массового уничтожения;</w:t>
      </w:r>
    </w:p>
    <w:p>
      <w:pPr>
        <w:pStyle w:val="0"/>
        <w:jc w:val="both"/>
      </w:pPr>
      <w:r>
        <w:rPr>
          <w:sz w:val="20"/>
        </w:rPr>
        <w:t xml:space="preserve">(в ред. </w:t>
      </w:r>
      <w:hyperlink w:history="0" r:id="rId31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содержащиеся в реестре иностранных агентов.</w:t>
      </w:r>
    </w:p>
    <w:p>
      <w:pPr>
        <w:pStyle w:val="0"/>
        <w:jc w:val="both"/>
      </w:pPr>
      <w:r>
        <w:rPr>
          <w:sz w:val="20"/>
        </w:rPr>
        <w:t xml:space="preserve">(в ред. </w:t>
      </w:r>
      <w:hyperlink w:history="0" r:id="rId31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Организация вправе представить документы, содержащие данные сведения, при подаче заявки в министерство по собственной инициативе.</w:t>
      </w:r>
    </w:p>
    <w:p>
      <w:pPr>
        <w:pStyle w:val="0"/>
        <w:jc w:val="both"/>
      </w:pPr>
      <w:r>
        <w:rPr>
          <w:sz w:val="20"/>
        </w:rPr>
        <w:t xml:space="preserve">(в ред. </w:t>
      </w:r>
      <w:hyperlink w:history="0" r:id="rId31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19.1. Запрещено требовать от организаций представления документов и информации в целях подтверждения соответствия организации требованиям, установленным </w:t>
      </w:r>
      <w:hyperlink w:history="0" w:anchor="P979" w:tooltip="11. Организация должна соответствовать следующим требованиям:">
        <w:r>
          <w:rPr>
            <w:sz w:val="20"/>
            <w:color w:val="0000ff"/>
          </w:rPr>
          <w:t xml:space="preserve">пунктом 11</w:t>
        </w:r>
      </w:hyperlink>
      <w:r>
        <w:rPr>
          <w:sz w:val="20"/>
        </w:rPr>
        <w:t xml:space="preserve">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случая, если организация готова представить указанные документы и информацию в министерство по собственной инициативе.</w:t>
      </w:r>
    </w:p>
    <w:p>
      <w:pPr>
        <w:pStyle w:val="0"/>
        <w:jc w:val="both"/>
      </w:pPr>
      <w:r>
        <w:rPr>
          <w:sz w:val="20"/>
        </w:rPr>
        <w:t xml:space="preserve">(п. 19.1 введен </w:t>
      </w:r>
      <w:hyperlink w:history="0" r:id="rId31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045" w:name="P1045"/>
    <w:bookmarkEnd w:id="1045"/>
    <w:p>
      <w:pPr>
        <w:pStyle w:val="0"/>
        <w:spacing w:before="200" w:line-rule="auto"/>
        <w:ind w:firstLine="540"/>
        <w:jc w:val="both"/>
      </w:pPr>
      <w:r>
        <w:rPr>
          <w:sz w:val="20"/>
        </w:rPr>
        <w:t xml:space="preserve">20. Основаниями для отклонения заявки на стадии рассмотрения и оценки заявок являются:</w:t>
      </w:r>
    </w:p>
    <w:p>
      <w:pPr>
        <w:pStyle w:val="0"/>
        <w:spacing w:before="200" w:line-rule="auto"/>
        <w:ind w:firstLine="540"/>
        <w:jc w:val="both"/>
      </w:pPr>
      <w:r>
        <w:rPr>
          <w:sz w:val="20"/>
        </w:rPr>
        <w:t xml:space="preserve">1) несоответствие организации требованиям, установленным </w:t>
      </w:r>
      <w:hyperlink w:history="0" w:anchor="P904" w:tooltip="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исключением государственных корпораций, государст...">
        <w:r>
          <w:rPr>
            <w:sz w:val="20"/>
            <w:color w:val="0000ff"/>
          </w:rPr>
          <w:t xml:space="preserve">пунктами 5</w:t>
        </w:r>
      </w:hyperlink>
      <w:r>
        <w:rPr>
          <w:sz w:val="20"/>
        </w:rPr>
        <w:t xml:space="preserve">, </w:t>
      </w:r>
      <w:hyperlink w:history="0" w:anchor="P979" w:tooltip="11. Организация должна соответствовать следующим требованиям:">
        <w:r>
          <w:rPr>
            <w:sz w:val="20"/>
            <w:color w:val="0000ff"/>
          </w:rPr>
          <w:t xml:space="preserve">11</w:t>
        </w:r>
      </w:hyperlink>
      <w:r>
        <w:rPr>
          <w:sz w:val="20"/>
        </w:rPr>
        <w:t xml:space="preserve">, </w:t>
      </w:r>
      <w:hyperlink w:history="0" w:anchor="P990" w:tooltip="12. Субсидии предоставляются организациям, соответствующим следующим критериям отбора:">
        <w:r>
          <w:rPr>
            <w:sz w:val="20"/>
            <w:color w:val="0000ff"/>
          </w:rPr>
          <w:t xml:space="preserve">12</w:t>
        </w:r>
      </w:hyperlink>
      <w:r>
        <w:rPr>
          <w:sz w:val="20"/>
        </w:rPr>
        <w:t xml:space="preserve"> Порядка;</w:t>
      </w:r>
    </w:p>
    <w:p>
      <w:pPr>
        <w:pStyle w:val="0"/>
        <w:spacing w:before="200" w:line-rule="auto"/>
        <w:ind w:firstLine="540"/>
        <w:jc w:val="both"/>
      </w:pPr>
      <w:r>
        <w:rPr>
          <w:sz w:val="20"/>
        </w:rPr>
        <w:t xml:space="preserve">2) непредставление (представление не в полном объеме) документов, предусмотренных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пунктом 13</w:t>
        </w:r>
      </w:hyperlink>
      <w:r>
        <w:rPr>
          <w:sz w:val="20"/>
        </w:rPr>
        <w:t xml:space="preserve"> Порядка;</w:t>
      </w:r>
    </w:p>
    <w:p>
      <w:pPr>
        <w:pStyle w:val="0"/>
        <w:spacing w:before="200" w:line-rule="auto"/>
        <w:ind w:firstLine="540"/>
        <w:jc w:val="both"/>
      </w:pPr>
      <w:r>
        <w:rPr>
          <w:sz w:val="20"/>
        </w:rPr>
        <w:t xml:space="preserve">3) несоответствие представленных организацией заявки и документов требованиям, установленным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пунктами 13</w:t>
        </w:r>
      </w:hyperlink>
      <w:r>
        <w:rPr>
          <w:sz w:val="20"/>
        </w:rPr>
        <w:t xml:space="preserve"> - </w:t>
      </w:r>
      <w:hyperlink w:history="0" w:anchor="P1006"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4) недостоверность информации, содержащейся в документах, представленных организацией, в целях подтверждения соответствия установленных правовым актом требованиям;</w:t>
      </w:r>
    </w:p>
    <w:p>
      <w:pPr>
        <w:pStyle w:val="0"/>
        <w:spacing w:before="200" w:line-rule="auto"/>
        <w:ind w:firstLine="540"/>
        <w:jc w:val="both"/>
      </w:pPr>
      <w:r>
        <w:rPr>
          <w:sz w:val="20"/>
        </w:rPr>
        <w:t xml:space="preserve">5) подача заявки после даты, определенной для подачи заявок;</w:t>
      </w:r>
    </w:p>
    <w:p>
      <w:pPr>
        <w:pStyle w:val="0"/>
        <w:spacing w:before="200" w:line-rule="auto"/>
        <w:ind w:firstLine="540"/>
        <w:jc w:val="both"/>
      </w:pPr>
      <w:r>
        <w:rPr>
          <w:sz w:val="20"/>
        </w:rPr>
        <w:t xml:space="preserve">6) несоответствие целевого назначения субсидии предмету деятельности организации, указанному в ее учредительных документах.</w:t>
      </w:r>
    </w:p>
    <w:p>
      <w:pPr>
        <w:pStyle w:val="0"/>
        <w:spacing w:before="200" w:line-rule="auto"/>
        <w:ind w:firstLine="540"/>
        <w:jc w:val="both"/>
      </w:pPr>
      <w:r>
        <w:rPr>
          <w:sz w:val="20"/>
        </w:rPr>
        <w:t xml:space="preserve">Абзацы восьмой - девятый утратили силу. - </w:t>
      </w:r>
      <w:hyperlink w:history="0" r:id="rId31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21. Утратил силу. - </w:t>
      </w:r>
      <w:hyperlink w:history="0" r:id="rId31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1054" w:name="P1054"/>
    <w:bookmarkEnd w:id="1054"/>
    <w:p>
      <w:pPr>
        <w:pStyle w:val="0"/>
        <w:spacing w:before="200" w:line-rule="auto"/>
        <w:ind w:firstLine="540"/>
        <w:jc w:val="both"/>
      </w:pPr>
      <w:r>
        <w:rPr>
          <w:sz w:val="20"/>
        </w:rPr>
        <w:t xml:space="preserve">22. По результатам рассмотрения и оценки заявок комиссия принимает решение о предоставлении субсидии или об отказе в предоставлении субсидии.</w:t>
      </w:r>
    </w:p>
    <w:p>
      <w:pPr>
        <w:pStyle w:val="0"/>
        <w:spacing w:before="200" w:line-rule="auto"/>
        <w:ind w:firstLine="540"/>
        <w:jc w:val="both"/>
      </w:pPr>
      <w:r>
        <w:rPr>
          <w:sz w:val="20"/>
        </w:rPr>
        <w:t xml:space="preserve">В состав комиссии входят председатель комиссии, заместитель председателя комиссии, секретарь комиссии и члены комиссии. В состав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w:t>
      </w:r>
    </w:p>
    <w:p>
      <w:pPr>
        <w:pStyle w:val="0"/>
        <w:jc w:val="both"/>
      </w:pPr>
      <w:r>
        <w:rPr>
          <w:sz w:val="20"/>
        </w:rPr>
        <w:t xml:space="preserve">(в ред. </w:t>
      </w:r>
      <w:hyperlink w:history="0" r:id="rId32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Число членов комиссии, замещающих государственные должности Новосибирской области, должности государственной гражданской службы, муниципальной службы, муниципальные должности, должно составлять не более одной трети от общего числа членов комиссии.</w:t>
      </w:r>
    </w:p>
    <w:bookmarkStart w:id="1058" w:name="P1058"/>
    <w:bookmarkEnd w:id="1058"/>
    <w:p>
      <w:pPr>
        <w:pStyle w:val="0"/>
        <w:spacing w:before="200" w:line-rule="auto"/>
        <w:ind w:firstLine="540"/>
        <w:jc w:val="both"/>
      </w:pPr>
      <w:r>
        <w:rPr>
          <w:sz w:val="20"/>
        </w:rPr>
        <w:t xml:space="preserve">23. Решение о предоставлении субсидии принимается комиссией в течение 15 рабочих дней, следующих за днем окончания приема заявок в системе "Электронный бюджет", исходя из соответствия организации категории и критериям отбора, указанным в </w:t>
      </w:r>
      <w:hyperlink w:history="0" w:anchor="P904" w:tooltip="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исключением государственных корпораций, государст...">
        <w:r>
          <w:rPr>
            <w:sz w:val="20"/>
            <w:color w:val="0000ff"/>
          </w:rPr>
          <w:t xml:space="preserve">пунктах 5</w:t>
        </w:r>
      </w:hyperlink>
      <w:r>
        <w:rPr>
          <w:sz w:val="20"/>
        </w:rPr>
        <w:t xml:space="preserve">, </w:t>
      </w:r>
      <w:hyperlink w:history="0" w:anchor="P990" w:tooltip="12. Субсидии предоставляются организациям, соответствующим следующим критериям отбора:">
        <w:r>
          <w:rPr>
            <w:sz w:val="20"/>
            <w:color w:val="0000ff"/>
          </w:rPr>
          <w:t xml:space="preserve">12</w:t>
        </w:r>
      </w:hyperlink>
      <w:r>
        <w:rPr>
          <w:sz w:val="20"/>
        </w:rPr>
        <w:t xml:space="preserve"> Порядка, и требованиям, указанным в </w:t>
      </w:r>
      <w:hyperlink w:history="0" w:anchor="P979" w:tooltip="11. Организация должна соответствовать следующим требованиям:">
        <w:r>
          <w:rPr>
            <w:sz w:val="20"/>
            <w:color w:val="0000ff"/>
          </w:rPr>
          <w:t xml:space="preserve">пунктах 11</w:t>
        </w:r>
      </w:hyperlink>
      <w:r>
        <w:rPr>
          <w:sz w:val="20"/>
        </w:rPr>
        <w:t xml:space="preserve">,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1006"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jc w:val="both"/>
      </w:pPr>
      <w:r>
        <w:rPr>
          <w:sz w:val="20"/>
        </w:rPr>
        <w:t xml:space="preserve">(в ред. </w:t>
      </w:r>
      <w:hyperlink w:history="0" r:id="rId32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случае если заявленный организациями совокупный объем субсидий превышает объем бюджетных ассигнований по предоставлению субсидии, установленный министерству на текущий финансовый год, то решение о предоставлении субсидии принимается в соответствии с очередностью поступления заявок.</w:t>
      </w:r>
    </w:p>
    <w:p>
      <w:pPr>
        <w:pStyle w:val="0"/>
        <w:spacing w:before="200" w:line-rule="auto"/>
        <w:ind w:firstLine="540"/>
        <w:jc w:val="both"/>
      </w:pPr>
      <w:r>
        <w:rPr>
          <w:sz w:val="20"/>
        </w:rPr>
        <w:t xml:space="preserve">В целях определения победителей отбора в срок, установленный </w:t>
      </w:r>
      <w:hyperlink w:history="0" w:anchor="P1058" w:tooltip="23. Решение о предоставлении субсидии принимается комиссией в течение 15 рабочих дней, следующих за днем окончания приема заявок в системе &quot;Электронный бюджет&quot;, исходя из соответствия организации категории и критериям отбора, указанным в пунктах 5, 12 Порядка, и требованиям, указанным в пунктах 11, 13 - 15 Порядка.">
        <w:r>
          <w:rPr>
            <w:sz w:val="20"/>
            <w:color w:val="0000ff"/>
          </w:rPr>
          <w:t xml:space="preserve">абзацем первым</w:t>
        </w:r>
      </w:hyperlink>
      <w:r>
        <w:rPr>
          <w:sz w:val="20"/>
        </w:rPr>
        <w:t xml:space="preserve"> настоящего пункта, формируется протокол подведения итогов отбора и включает следующие сведения:</w:t>
      </w:r>
    </w:p>
    <w:p>
      <w:pPr>
        <w:pStyle w:val="0"/>
        <w:jc w:val="both"/>
      </w:pPr>
      <w:r>
        <w:rPr>
          <w:sz w:val="20"/>
        </w:rPr>
        <w:t xml:space="preserve">(в ред. </w:t>
      </w:r>
      <w:hyperlink w:history="0" r:id="rId32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дату, время и место проведения рассмотрения заявок;</w:t>
      </w:r>
    </w:p>
    <w:p>
      <w:pPr>
        <w:pStyle w:val="0"/>
        <w:spacing w:before="200" w:line-rule="auto"/>
        <w:ind w:firstLine="540"/>
        <w:jc w:val="both"/>
      </w:pPr>
      <w:r>
        <w:rPr>
          <w:sz w:val="20"/>
        </w:rPr>
        <w:t xml:space="preserve">2) информацию об организациях, заявки которых были рассмотрены;</w:t>
      </w:r>
    </w:p>
    <w:p>
      <w:pPr>
        <w:pStyle w:val="0"/>
        <w:spacing w:before="200" w:line-rule="auto"/>
        <w:ind w:firstLine="540"/>
        <w:jc w:val="both"/>
      </w:pPr>
      <w:r>
        <w:rPr>
          <w:sz w:val="20"/>
        </w:rPr>
        <w:t xml:space="preserve">3) информацию об организациях,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pPr>
        <w:pStyle w:val="0"/>
        <w:spacing w:before="200" w:line-rule="auto"/>
        <w:ind w:firstLine="540"/>
        <w:jc w:val="both"/>
      </w:pPr>
      <w:r>
        <w:rPr>
          <w:sz w:val="20"/>
        </w:rPr>
        <w:t xml:space="preserve">4) наименование организаций - победителей отбора (получателей субсидий), с которыми заключается соглашение, их ОГРН, идентификационный номер налогоплательщика, и размер предоставляемой им субсидии;</w:t>
      </w:r>
    </w:p>
    <w:p>
      <w:pPr>
        <w:pStyle w:val="0"/>
        <w:jc w:val="both"/>
      </w:pPr>
      <w:r>
        <w:rPr>
          <w:sz w:val="20"/>
        </w:rPr>
        <w:t xml:space="preserve">(в ред. </w:t>
      </w:r>
      <w:hyperlink w:history="0" r:id="rId32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информацию об участниках заседания комиссии, о результатах голосования (в том числе о лицах, голосовавших против принятия решения), об особом мнении участников заседания комиссии, которое они внесли в протокол).</w:t>
      </w:r>
    </w:p>
    <w:p>
      <w:pPr>
        <w:pStyle w:val="0"/>
        <w:jc w:val="both"/>
      </w:pPr>
      <w:r>
        <w:rPr>
          <w:sz w:val="20"/>
        </w:rPr>
        <w:t xml:space="preserve">(в ред. </w:t>
      </w:r>
      <w:hyperlink w:history="0" r:id="rId32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отбора автоматически формируется на едином портале на основании результатов определения победителей отбора, подписывается усиленной квалифицированной электронной подписью председателя и членов комиссии в системе "Электронный бюджет", а также размещается на едином портале не позднее одного рабочего дня, следующего за днем его подписания. Одновременно протокол размещается министерством на его официальном сайте в сети "Интернет".</w:t>
      </w:r>
    </w:p>
    <w:p>
      <w:pPr>
        <w:pStyle w:val="0"/>
        <w:jc w:val="both"/>
      </w:pPr>
      <w:r>
        <w:rPr>
          <w:sz w:val="20"/>
        </w:rPr>
        <w:t xml:space="preserve">(в ред. </w:t>
      </w:r>
      <w:hyperlink w:history="0" r:id="rId32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Внесение изменений в протокол подведения итогов отбора осуществляется не позднее 10 календарных дней со дня подписания первой версии протокола подведения итогов отбора путем формирования новой версии указанного протокола с указанием причин внесения изменений.</w:t>
      </w:r>
    </w:p>
    <w:p>
      <w:pPr>
        <w:pStyle w:val="0"/>
        <w:jc w:val="both"/>
      </w:pPr>
      <w:r>
        <w:rPr>
          <w:sz w:val="20"/>
        </w:rPr>
        <w:t xml:space="preserve">(в ред. </w:t>
      </w:r>
      <w:hyperlink w:history="0" r:id="rId32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074" w:name="P1074"/>
    <w:bookmarkEnd w:id="1074"/>
    <w:p>
      <w:pPr>
        <w:pStyle w:val="0"/>
        <w:spacing w:before="200" w:line-rule="auto"/>
        <w:ind w:firstLine="540"/>
        <w:jc w:val="both"/>
      </w:pPr>
      <w:r>
        <w:rPr>
          <w:sz w:val="20"/>
        </w:rPr>
        <w:t xml:space="preserve">24. В течение пяти рабочих дней со дня размещения на едином портале протокола подведения итогов министерство издает приказ о результатах отбора с указанием организаций - победителей отбора и размера предоставляемых им субсидий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w:t>
      </w:r>
    </w:p>
    <w:p>
      <w:pPr>
        <w:pStyle w:val="0"/>
        <w:jc w:val="both"/>
      </w:pPr>
      <w:r>
        <w:rPr>
          <w:sz w:val="20"/>
        </w:rPr>
        <w:t xml:space="preserve">(в ред. </w:t>
      </w:r>
      <w:hyperlink w:history="0" r:id="rId32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25. Отбор признается несостоявшимся в следующих случаях:</w:t>
      </w:r>
    </w:p>
    <w:p>
      <w:pPr>
        <w:pStyle w:val="0"/>
        <w:spacing w:before="200" w:line-rule="auto"/>
        <w:ind w:firstLine="540"/>
        <w:jc w:val="both"/>
      </w:pPr>
      <w:r>
        <w:rPr>
          <w:sz w:val="20"/>
        </w:rPr>
        <w:t xml:space="preserve">1) по окончании срока подачи заявок не подано ни одной заявки;</w:t>
      </w:r>
    </w:p>
    <w:p>
      <w:pPr>
        <w:pStyle w:val="0"/>
        <w:spacing w:before="200" w:line-rule="auto"/>
        <w:ind w:firstLine="540"/>
        <w:jc w:val="both"/>
      </w:pPr>
      <w:r>
        <w:rPr>
          <w:sz w:val="20"/>
        </w:rPr>
        <w:t xml:space="preserve">2) по результатам рассмотрения заявок отклонены все заявки.</w:t>
      </w:r>
    </w:p>
    <w:p>
      <w:pPr>
        <w:pStyle w:val="0"/>
        <w:spacing w:before="200" w:line-rule="auto"/>
        <w:ind w:firstLine="540"/>
        <w:jc w:val="both"/>
      </w:pPr>
      <w:r>
        <w:rPr>
          <w:sz w:val="20"/>
        </w:rPr>
        <w:t xml:space="preserve">В течение пяти рабочих дней со дня окончания срока подачи заявок в случае отсутствия поданных заявок либо в течение 15 рабочих дней со дня окончания срока приема заявок в случае отклонения всех заявок министерство издает приказ о признании отбора несостоявшимся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вместе с объявлением о признании отбора несостоявшимся.</w:t>
      </w:r>
    </w:p>
    <w:p>
      <w:pPr>
        <w:pStyle w:val="0"/>
        <w:jc w:val="both"/>
      </w:pPr>
      <w:r>
        <w:rPr>
          <w:sz w:val="20"/>
        </w:rPr>
        <w:t xml:space="preserve">(в ред. </w:t>
      </w:r>
      <w:hyperlink w:history="0" r:id="rId32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Абзац утратил силу. - </w:t>
      </w:r>
      <w:hyperlink w:history="0" r:id="rId32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Условия и порядок предоставления субсидий</w:t>
      </w:r>
    </w:p>
    <w:p>
      <w:pPr>
        <w:pStyle w:val="0"/>
        <w:ind w:firstLine="540"/>
        <w:jc w:val="both"/>
      </w:pPr>
      <w:r>
        <w:rPr>
          <w:sz w:val="20"/>
        </w:rPr>
      </w:r>
    </w:p>
    <w:p>
      <w:pPr>
        <w:pStyle w:val="0"/>
        <w:ind w:firstLine="540"/>
        <w:jc w:val="both"/>
      </w:pPr>
      <w:r>
        <w:rPr>
          <w:sz w:val="20"/>
        </w:rPr>
        <w:t xml:space="preserve">26. Условием предоставления субсидии является соответствие получателя субсидии категориям и критериям, указанным в </w:t>
      </w:r>
      <w:hyperlink w:history="0" w:anchor="P904" w:tooltip="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исключением государственных корпораций, государст...">
        <w:r>
          <w:rPr>
            <w:sz w:val="20"/>
            <w:color w:val="0000ff"/>
          </w:rPr>
          <w:t xml:space="preserve">пунктах 5</w:t>
        </w:r>
      </w:hyperlink>
      <w:r>
        <w:rPr>
          <w:sz w:val="20"/>
        </w:rPr>
        <w:t xml:space="preserve">, </w:t>
      </w:r>
      <w:hyperlink w:history="0" w:anchor="P990" w:tooltip="12. Субсидии предоставляются организациям, соответствующим следующим критериям отбора:">
        <w:r>
          <w:rPr>
            <w:sz w:val="20"/>
            <w:color w:val="0000ff"/>
          </w:rPr>
          <w:t xml:space="preserve">12</w:t>
        </w:r>
      </w:hyperlink>
      <w:r>
        <w:rPr>
          <w:sz w:val="20"/>
        </w:rPr>
        <w:t xml:space="preserve"> Порядка, и требованиям, указанным в </w:t>
      </w:r>
      <w:hyperlink w:history="0" w:anchor="P979" w:tooltip="11. Организация должна соответствовать следующим требованиям:">
        <w:r>
          <w:rPr>
            <w:sz w:val="20"/>
            <w:color w:val="0000ff"/>
          </w:rPr>
          <w:t xml:space="preserve">пунктах 11</w:t>
        </w:r>
      </w:hyperlink>
      <w:r>
        <w:rPr>
          <w:sz w:val="20"/>
        </w:rPr>
        <w:t xml:space="preserve">,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1006"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27. Министерство отказывает получателю субсидии в предоставлении субсидии по следующим основаниям:</w:t>
      </w:r>
    </w:p>
    <w:p>
      <w:pPr>
        <w:pStyle w:val="0"/>
        <w:spacing w:before="200" w:line-rule="auto"/>
        <w:ind w:firstLine="540"/>
        <w:jc w:val="both"/>
      </w:pPr>
      <w:r>
        <w:rPr>
          <w:sz w:val="20"/>
        </w:rPr>
        <w:t xml:space="preserve">1) несоответствие представленных получателем субсидии документов категориям и критериям отбора, указанным в </w:t>
      </w:r>
      <w:hyperlink w:history="0" w:anchor="P904" w:tooltip="5. К категории отбора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исключением государственных корпораций, государст...">
        <w:r>
          <w:rPr>
            <w:sz w:val="20"/>
            <w:color w:val="0000ff"/>
          </w:rPr>
          <w:t xml:space="preserve">пунктах 5</w:t>
        </w:r>
      </w:hyperlink>
      <w:r>
        <w:rPr>
          <w:sz w:val="20"/>
        </w:rPr>
        <w:t xml:space="preserve">, </w:t>
      </w:r>
      <w:hyperlink w:history="0" w:anchor="P990" w:tooltip="12. Субсидии предоставляются организациям, соответствующим следующим критериям отбора:">
        <w:r>
          <w:rPr>
            <w:sz w:val="20"/>
            <w:color w:val="0000ff"/>
          </w:rPr>
          <w:t xml:space="preserve">12</w:t>
        </w:r>
      </w:hyperlink>
      <w:r>
        <w:rPr>
          <w:sz w:val="20"/>
        </w:rPr>
        <w:t xml:space="preserve"> Порядка, и требованиям, указанным в </w:t>
      </w:r>
      <w:hyperlink w:history="0" w:anchor="P979" w:tooltip="11. Организация должна соответствовать следующим требованиям:">
        <w:r>
          <w:rPr>
            <w:sz w:val="20"/>
            <w:color w:val="0000ff"/>
          </w:rPr>
          <w:t xml:space="preserve">пунктах 11</w:t>
        </w:r>
      </w:hyperlink>
      <w:r>
        <w:rPr>
          <w:sz w:val="20"/>
        </w:rPr>
        <w:t xml:space="preserve">, </w:t>
      </w:r>
      <w:hyperlink w:history="0" w:anchor="P994"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1006"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 или непредставление (представление не в полном объеме) указанных документов;</w:t>
      </w:r>
    </w:p>
    <w:p>
      <w:pPr>
        <w:pStyle w:val="0"/>
        <w:spacing w:before="200" w:line-rule="auto"/>
        <w:ind w:firstLine="540"/>
        <w:jc w:val="both"/>
      </w:pPr>
      <w:r>
        <w:rPr>
          <w:sz w:val="20"/>
        </w:rPr>
        <w:t xml:space="preserve">2) установление факта недостоверности представленной получателем субсидии информации.</w:t>
      </w:r>
    </w:p>
    <w:p>
      <w:pPr>
        <w:pStyle w:val="0"/>
        <w:spacing w:before="200" w:line-rule="auto"/>
        <w:ind w:firstLine="540"/>
        <w:jc w:val="both"/>
      </w:pPr>
      <w:r>
        <w:rPr>
          <w:sz w:val="20"/>
        </w:rPr>
        <w:t xml:space="preserve">При наличии оснований для отказа в предоставлении субсидии, указанных в настоящем пункте, министерство в течение десяти рабочих дней с момента выявления оснований для отказа направляет организации письменное уведомление об отказе в предоставлении субсидии с указанием причин такого отказа по адресу, указанному в заявке.</w:t>
      </w:r>
    </w:p>
    <w:bookmarkStart w:id="1090" w:name="P1090"/>
    <w:bookmarkEnd w:id="1090"/>
    <w:p>
      <w:pPr>
        <w:pStyle w:val="0"/>
        <w:spacing w:before="200" w:line-rule="auto"/>
        <w:ind w:firstLine="540"/>
        <w:jc w:val="both"/>
      </w:pPr>
      <w:r>
        <w:rPr>
          <w:sz w:val="20"/>
        </w:rPr>
        <w:t xml:space="preserve">28. Размер субсидии определяется в соответствии с запрашиваемым размером субсидии, указанным в заявке организации, но не более максимального размера субсидии, установленного в объявлении о проведении отбора.</w:t>
      </w:r>
    </w:p>
    <w:p>
      <w:pPr>
        <w:pStyle w:val="0"/>
        <w:spacing w:before="200" w:line-rule="auto"/>
        <w:ind w:firstLine="540"/>
        <w:jc w:val="both"/>
      </w:pPr>
      <w:r>
        <w:rPr>
          <w:sz w:val="20"/>
        </w:rPr>
        <w:t xml:space="preserve">29. Министерство в течение 30 рабочих дней со дня размещения на едином портале протокола подведения итогов отбора обеспечивает размещение проекта соглашения в системе "Электронный бюджет".</w:t>
      </w:r>
    </w:p>
    <w:p>
      <w:pPr>
        <w:pStyle w:val="0"/>
        <w:jc w:val="both"/>
      </w:pPr>
      <w:r>
        <w:rPr>
          <w:sz w:val="20"/>
        </w:rPr>
        <w:t xml:space="preserve">(п. 29 в ред. </w:t>
      </w:r>
      <w:hyperlink w:history="0" r:id="rId33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30. В случае невозможности предоставления субсидии в текущем финансовом году в связи с недостаточностью лимитов бюджетных обязательств министерство согласует с получателем субсидии новые условия исполнения соглашения (уточнение финансового обеспечения предоставления субсидии в счет лимитов бюджетных обязательств очередного финансового года и уточнение сроков исполнения соглашения или расторжение заключенного соглашения).</w:t>
      </w:r>
    </w:p>
    <w:p>
      <w:pPr>
        <w:pStyle w:val="0"/>
        <w:spacing w:before="200" w:line-rule="auto"/>
        <w:ind w:firstLine="540"/>
        <w:jc w:val="both"/>
      </w:pPr>
      <w:r>
        <w:rPr>
          <w:sz w:val="20"/>
        </w:rPr>
        <w:t xml:space="preserve">31. Организация - победитель отбора обеспечивает подписание проекта соглашения в системе "Электронный бюджет" в течение 10 рабочих дней со дня его размещения министерством. В случае отказа от подписания соглашения в течение указанного срока организация считается уклонившийся от заключения соглашения.</w:t>
      </w:r>
    </w:p>
    <w:p>
      <w:pPr>
        <w:pStyle w:val="0"/>
        <w:jc w:val="both"/>
      </w:pPr>
      <w:r>
        <w:rPr>
          <w:sz w:val="20"/>
        </w:rPr>
        <w:t xml:space="preserve">(п. 31 в ред. </w:t>
      </w:r>
      <w:hyperlink w:history="0" r:id="rId33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32. Соглашение, дополнительное соглашение о внесении изменений, а также дополнительное соглашение о расторжении соглашения (при необходимости) подготавливаются (формируются) и заключаются в системе "Электронный бюджет" в соответствии с типовой формой, установленной министерством финансов и налоговой политики Новосибирской области.</w:t>
      </w:r>
    </w:p>
    <w:p>
      <w:pPr>
        <w:pStyle w:val="0"/>
        <w:spacing w:before="200" w:line-rule="auto"/>
        <w:ind w:firstLine="540"/>
        <w:jc w:val="both"/>
      </w:pPr>
      <w:r>
        <w:rPr>
          <w:sz w:val="20"/>
        </w:rPr>
        <w:t xml:space="preserve">33. В соглашении указываются:</w:t>
      </w:r>
    </w:p>
    <w:p>
      <w:pPr>
        <w:pStyle w:val="0"/>
        <w:spacing w:before="200" w:line-rule="auto"/>
        <w:ind w:firstLine="540"/>
        <w:jc w:val="both"/>
      </w:pPr>
      <w:r>
        <w:rPr>
          <w:sz w:val="20"/>
        </w:rPr>
        <w:t xml:space="preserve">1) результаты предоставления субсидии, их характеристики (показатели, необходимые для достижения результата предоставления субсидии) в соответствии с </w:t>
      </w:r>
      <w:hyperlink w:history="0" w:anchor="P1110" w:tooltip="37. Результатом предоставления субсидии являются реализованные мероприятия по организации и проведению поисковых работ.">
        <w:r>
          <w:rPr>
            <w:sz w:val="20"/>
            <w:color w:val="0000ff"/>
          </w:rPr>
          <w:t xml:space="preserve">пунктом 37</w:t>
        </w:r>
      </w:hyperlink>
      <w:r>
        <w:rPr>
          <w:sz w:val="20"/>
        </w:rPr>
        <w:t xml:space="preserve"> Порядка;</w:t>
      </w:r>
    </w:p>
    <w:p>
      <w:pPr>
        <w:pStyle w:val="0"/>
        <w:jc w:val="both"/>
      </w:pPr>
      <w:r>
        <w:rPr>
          <w:sz w:val="20"/>
        </w:rPr>
        <w:t xml:space="preserve">(в ред. </w:t>
      </w:r>
      <w:hyperlink w:history="0" r:id="rId33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сроки (периодичность) перечисления субсидии в соответствии с бюджетным законодательством Российской Федерации;</w:t>
      </w:r>
    </w:p>
    <w:bookmarkStart w:id="1101" w:name="P1101"/>
    <w:bookmarkEnd w:id="1101"/>
    <w:p>
      <w:pPr>
        <w:pStyle w:val="0"/>
        <w:spacing w:before="200" w:line-rule="auto"/>
        <w:ind w:firstLine="540"/>
        <w:jc w:val="both"/>
      </w:pPr>
      <w:r>
        <w:rPr>
          <w:sz w:val="20"/>
        </w:rPr>
        <w:t xml:space="preserve">3) счет (счета), на который (которые) перечисляется субсидия, с учетом положений, установленных бюджетным законодательством Российской Федерации;</w:t>
      </w:r>
    </w:p>
    <w:p>
      <w:pPr>
        <w:pStyle w:val="0"/>
        <w:spacing w:before="200" w:line-rule="auto"/>
        <w:ind w:firstLine="540"/>
        <w:jc w:val="both"/>
      </w:pPr>
      <w:r>
        <w:rPr>
          <w:sz w:val="20"/>
        </w:rPr>
        <w:t xml:space="preserve">4) условие о согласии организации и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на финансовое обеспечение затрат организации, на осуществление министерством в отношении их проверки соблюдения порядка и условий предоставления субсидии, в том числе в части достижения результатов предоставления субсидии, а также проверки органом государственного финансового контроля соблюдения организацией порядка и условий предоставления субсидии в соответствии со </w:t>
      </w:r>
      <w:hyperlink w:history="0" r:id="rId333"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334"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5) запрет приобретения за счет средств, предоставленных на финансовое обеспечение затрат организации,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Порядком;</w:t>
      </w:r>
    </w:p>
    <w:p>
      <w:pPr>
        <w:pStyle w:val="0"/>
        <w:spacing w:before="200" w:line-rule="auto"/>
        <w:ind w:firstLine="540"/>
        <w:jc w:val="both"/>
      </w:pPr>
      <w:r>
        <w:rPr>
          <w:sz w:val="20"/>
        </w:rPr>
        <w:t xml:space="preserve">6)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pPr>
        <w:pStyle w:val="0"/>
        <w:spacing w:before="200" w:line-rule="auto"/>
        <w:ind w:firstLine="540"/>
        <w:jc w:val="both"/>
      </w:pPr>
      <w:r>
        <w:rPr>
          <w:sz w:val="20"/>
        </w:rPr>
        <w:t xml:space="preserve">7) условие об информировании организацией территориальных органов Министерства внутренних дел Российской Федерации субъектов Российской Федерации, на территории которых запланировано проведение поисковых работ, о предстоящих поисковых работах и согласовании порядка взаимодействия с ними по вопросам обеспечения безопасности граждан и общественного порядка при их проведении в соответствии с </w:t>
      </w:r>
      <w:hyperlink w:history="0" r:id="rId335" w:tooltip="Приказ Министра обороны РФ от 19.11.2014 N 845 &quot;Об утверждении Порядка организации и проведения поисковой работы общественно-государственными объединениями, общественными объединениями, уполномоченными на проведение такой работы, осуществляемой в целях выявления неизвестных воинских захоронений и непогребенных останков, установления имен погибших и пропавших без вести при защите Отечества и увековечения их памяти&quot; (Зарегистрировано в Минюсте России 09.02.2015 N 35923) {КонсультантПлюс}">
        <w:r>
          <w:rPr>
            <w:sz w:val="20"/>
            <w:color w:val="0000ff"/>
          </w:rPr>
          <w:t xml:space="preserve">приказом</w:t>
        </w:r>
      </w:hyperlink>
      <w:r>
        <w:rPr>
          <w:sz w:val="20"/>
        </w:rPr>
        <w:t xml:space="preserve"> Минобороны России от 19.11.2014 N 845.</w:t>
      </w:r>
    </w:p>
    <w:p>
      <w:pPr>
        <w:pStyle w:val="0"/>
        <w:spacing w:before="200" w:line-rule="auto"/>
        <w:ind w:firstLine="540"/>
        <w:jc w:val="both"/>
      </w:pPr>
      <w:r>
        <w:rPr>
          <w:sz w:val="20"/>
        </w:rPr>
        <w:t xml:space="preserve">34. После заключения соглашения министерство в течение 20 рабочих дней перечисляет субсидию на счет (счета) организации, указанный (указанные) в соглашении в соответствии с </w:t>
      </w:r>
      <w:hyperlink w:history="0" w:anchor="P1101" w:tooltip="3) счет (счета), на который (которые) перечисляется субсидия, с учетом положений, установленных бюджетным законодательством Российской Федерации;">
        <w:r>
          <w:rPr>
            <w:sz w:val="20"/>
            <w:color w:val="0000ff"/>
          </w:rPr>
          <w:t xml:space="preserve">подпунктом 3 пункта 33</w:t>
        </w:r>
      </w:hyperlink>
      <w:r>
        <w:rPr>
          <w:sz w:val="20"/>
        </w:rPr>
        <w:t xml:space="preserve"> Порядка.</w:t>
      </w:r>
    </w:p>
    <w:p>
      <w:pPr>
        <w:pStyle w:val="0"/>
        <w:spacing w:before="200" w:line-rule="auto"/>
        <w:ind w:firstLine="540"/>
        <w:jc w:val="both"/>
      </w:pPr>
      <w:r>
        <w:rPr>
          <w:sz w:val="20"/>
        </w:rPr>
        <w:t xml:space="preserve">35. Субсидия предоставляется на основании подписанного организацией и министерством соглашения в пределах лимитов бюджетных обязательств, установленных министерству на текущий финансовый год в соответствии со сводной бюджетной росписью и кассовым планом областного бюджета.</w:t>
      </w:r>
    </w:p>
    <w:p>
      <w:pPr>
        <w:pStyle w:val="0"/>
        <w:spacing w:before="200" w:line-rule="auto"/>
        <w:ind w:firstLine="540"/>
        <w:jc w:val="both"/>
      </w:pPr>
      <w:r>
        <w:rPr>
          <w:sz w:val="20"/>
        </w:rPr>
        <w:t xml:space="preserve">36. Предоставленные субсидии должны быть использованы в сроки, предусмотренные соглашениями.</w:t>
      </w:r>
    </w:p>
    <w:p>
      <w:pPr>
        <w:pStyle w:val="0"/>
        <w:spacing w:before="200" w:line-rule="auto"/>
        <w:ind w:firstLine="540"/>
        <w:jc w:val="both"/>
      </w:pPr>
      <w:r>
        <w:rPr>
          <w:sz w:val="20"/>
        </w:rPr>
        <w:t xml:space="preserve">Сроки использования субсидий не ограничиваются финансовым годом, в котором предоставлены эти субсидии.</w:t>
      </w:r>
    </w:p>
    <w:bookmarkStart w:id="1110" w:name="P1110"/>
    <w:bookmarkEnd w:id="1110"/>
    <w:p>
      <w:pPr>
        <w:pStyle w:val="0"/>
        <w:spacing w:before="200" w:line-rule="auto"/>
        <w:ind w:firstLine="540"/>
        <w:jc w:val="both"/>
      </w:pPr>
      <w:r>
        <w:rPr>
          <w:sz w:val="20"/>
        </w:rPr>
        <w:t xml:space="preserve">37. Результатом предоставления субсидии являются реализованные мероприятия по организации и проведению поисковых работ.</w:t>
      </w:r>
    </w:p>
    <w:p>
      <w:pPr>
        <w:pStyle w:val="0"/>
        <w:spacing w:before="200" w:line-rule="auto"/>
        <w:ind w:firstLine="540"/>
        <w:jc w:val="both"/>
      </w:pPr>
      <w:r>
        <w:rPr>
          <w:sz w:val="20"/>
        </w:rPr>
        <w:t xml:space="preserve">Характеристикой результата предоставления субсидии (показателем, необходимым для достижения результата предоставления субсидии) (далее - характеристика результата предоставления субсидии) является количество волонтеров - участников мероприятий, направленных на формирование патриотического сознания граждан Российской Федерации в Новосибирской области.</w:t>
      </w:r>
    </w:p>
    <w:p>
      <w:pPr>
        <w:pStyle w:val="0"/>
        <w:spacing w:before="200" w:line-rule="auto"/>
        <w:ind w:firstLine="540"/>
        <w:jc w:val="both"/>
      </w:pPr>
      <w:r>
        <w:rPr>
          <w:sz w:val="20"/>
        </w:rPr>
        <w:t xml:space="preserve">Характеристика результата предоставления субсидии устанавливается министерством в соглашении исходя из показателя, указанного в заявке организации - победителя конкурса.</w:t>
      </w:r>
    </w:p>
    <w:p>
      <w:pPr>
        <w:pStyle w:val="0"/>
        <w:jc w:val="both"/>
      </w:pPr>
      <w:r>
        <w:rPr>
          <w:sz w:val="20"/>
        </w:rPr>
        <w:t xml:space="preserve">(п. 37 в ред. </w:t>
      </w:r>
      <w:hyperlink w:history="0" r:id="rId33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Требования к отчетности</w:t>
      </w:r>
    </w:p>
    <w:p>
      <w:pPr>
        <w:pStyle w:val="0"/>
        <w:ind w:firstLine="540"/>
        <w:jc w:val="both"/>
      </w:pPr>
      <w:r>
        <w:rPr>
          <w:sz w:val="20"/>
        </w:rPr>
      </w:r>
    </w:p>
    <w:p>
      <w:pPr>
        <w:pStyle w:val="0"/>
        <w:ind w:firstLine="540"/>
        <w:jc w:val="both"/>
      </w:pPr>
      <w:r>
        <w:rPr>
          <w:sz w:val="20"/>
        </w:rPr>
        <w:t xml:space="preserve">38. Отчет о достижении значений результатов предоставления субсидии и характеристик результата предоставления субсидии, отчет об осуществлении расходов, источником которых является субсидия, отчет о реализации плана мероприятий по достижению результатов предоставления субсидии и характеристик результата предоставления субсидии (контрольных точек) (далее - отчет) представляются в министерство организацией не реже одного раза в квартал по формам, определенным типовыми формами соглашений, установленным министерством финансов и налоговой политики Новосибирской области.</w:t>
      </w:r>
    </w:p>
    <w:p>
      <w:pPr>
        <w:pStyle w:val="0"/>
        <w:jc w:val="both"/>
      </w:pPr>
      <w:r>
        <w:rPr>
          <w:sz w:val="20"/>
        </w:rPr>
        <w:t xml:space="preserve">(в ред. </w:t>
      </w:r>
      <w:hyperlink w:history="0" r:id="rId33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вправе устанавливать в соглашении сроки и формы представления получателем субсидии дополнительной отчетности.</w:t>
      </w:r>
    </w:p>
    <w:p>
      <w:pPr>
        <w:pStyle w:val="0"/>
        <w:spacing w:before="200" w:line-rule="auto"/>
        <w:ind w:firstLine="540"/>
        <w:jc w:val="both"/>
      </w:pPr>
      <w:r>
        <w:rPr>
          <w:sz w:val="20"/>
        </w:rPr>
        <w:t xml:space="preserve">39. Министерство осуществляет проверку отчетов в течение 60 рабочих дней со дня их поступления по результатам которой:</w:t>
      </w:r>
    </w:p>
    <w:p>
      <w:pPr>
        <w:pStyle w:val="0"/>
        <w:spacing w:before="200" w:line-rule="auto"/>
        <w:ind w:firstLine="540"/>
        <w:jc w:val="both"/>
      </w:pPr>
      <w:r>
        <w:rPr>
          <w:sz w:val="20"/>
        </w:rPr>
        <w:t xml:space="preserve">1) принимает отчет;</w:t>
      </w:r>
    </w:p>
    <w:p>
      <w:pPr>
        <w:pStyle w:val="0"/>
        <w:spacing w:before="200" w:line-rule="auto"/>
        <w:ind w:firstLine="540"/>
        <w:jc w:val="both"/>
      </w:pPr>
      <w:r>
        <w:rPr>
          <w:sz w:val="20"/>
        </w:rPr>
        <w:t xml:space="preserve">2) возвращает отчет получателю субсидии на доработку при наличии замечаний. Получатель субсидии дорабатывает отчет в течение десяти рабочих дней со дня его получения и представляет в министерство доработанный отчет для проведения повторной проверки.</w:t>
      </w:r>
    </w:p>
    <w:p>
      <w:pPr>
        <w:pStyle w:val="0"/>
        <w:jc w:val="both"/>
      </w:pPr>
      <w:r>
        <w:rPr>
          <w:sz w:val="20"/>
        </w:rPr>
        <w:t xml:space="preserve">(в ред. </w:t>
      </w:r>
      <w:hyperlink w:history="0" r:id="rId33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Требования об осуществлении контроля (мониторинга)</w:t>
      </w:r>
    </w:p>
    <w:p>
      <w:pPr>
        <w:pStyle w:val="2"/>
        <w:jc w:val="center"/>
      </w:pPr>
      <w:r>
        <w:rPr>
          <w:sz w:val="20"/>
        </w:rPr>
        <w:t xml:space="preserve">за соблюдением условий и порядка предоставления</w:t>
      </w:r>
    </w:p>
    <w:p>
      <w:pPr>
        <w:pStyle w:val="2"/>
        <w:jc w:val="center"/>
      </w:pPr>
      <w:r>
        <w:rPr>
          <w:sz w:val="20"/>
        </w:rPr>
        <w:t xml:space="preserve">субсидий и ответственности за их нарушение</w:t>
      </w:r>
    </w:p>
    <w:p>
      <w:pPr>
        <w:pStyle w:val="0"/>
        <w:ind w:firstLine="540"/>
        <w:jc w:val="both"/>
      </w:pPr>
      <w:r>
        <w:rPr>
          <w:sz w:val="20"/>
        </w:rPr>
      </w:r>
    </w:p>
    <w:p>
      <w:pPr>
        <w:pStyle w:val="0"/>
        <w:ind w:firstLine="540"/>
        <w:jc w:val="both"/>
      </w:pPr>
      <w:r>
        <w:rPr>
          <w:sz w:val="20"/>
        </w:rPr>
        <w:t xml:space="preserve">40. Получатель субсидии несет ответственность за соблюдение условий и порядка предоставления субсидии в соответствии с действующим законодательством Российской Федерации.</w:t>
      </w:r>
    </w:p>
    <w:p>
      <w:pPr>
        <w:pStyle w:val="0"/>
        <w:spacing w:before="200" w:line-rule="auto"/>
        <w:ind w:firstLine="540"/>
        <w:jc w:val="both"/>
      </w:pPr>
      <w:r>
        <w:rPr>
          <w:sz w:val="20"/>
        </w:rPr>
        <w:t xml:space="preserve">41. Министерство осуществляет проверку соблюдения получателем субсидии условий и порядка предоставления субсидий, в том числе в части достижения результатов предоставления субсидии и характеристик результата предоставления субсидии.</w:t>
      </w:r>
    </w:p>
    <w:p>
      <w:pPr>
        <w:pStyle w:val="0"/>
        <w:jc w:val="both"/>
      </w:pPr>
      <w:r>
        <w:rPr>
          <w:sz w:val="20"/>
        </w:rPr>
        <w:t xml:space="preserve">(в ред. </w:t>
      </w:r>
      <w:hyperlink w:history="0" r:id="rId33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Органы государственного финансового контроля осуществляют проверку в соответствии со </w:t>
      </w:r>
      <w:hyperlink w:history="0" r:id="rId340"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341"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42. Министерство, министерство финансов и налоговой политики Новосибирской области проводят мониторинг достижения результатов предоставления субсидии и характеристик результата предоставления субсидии исходя из достижения значений результатов предоставления субсидии и характеристик результата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Министерством финансов Российской Федерации.</w:t>
      </w:r>
    </w:p>
    <w:p>
      <w:pPr>
        <w:pStyle w:val="0"/>
        <w:jc w:val="both"/>
      </w:pPr>
      <w:r>
        <w:rPr>
          <w:sz w:val="20"/>
        </w:rPr>
        <w:t xml:space="preserve">(в ред. </w:t>
      </w:r>
      <w:hyperlink w:history="0" r:id="rId34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135" w:name="P1135"/>
    <w:bookmarkEnd w:id="1135"/>
    <w:p>
      <w:pPr>
        <w:pStyle w:val="0"/>
        <w:spacing w:before="200" w:line-rule="auto"/>
        <w:ind w:firstLine="540"/>
        <w:jc w:val="both"/>
      </w:pPr>
      <w:r>
        <w:rPr>
          <w:sz w:val="20"/>
        </w:rPr>
        <w:t xml:space="preserve">43.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и уполномоченным органом государственного финансового контроля, субсидия подлежит возврату в областной бюджет.</w:t>
      </w:r>
    </w:p>
    <w:bookmarkStart w:id="1136" w:name="P1136"/>
    <w:bookmarkEnd w:id="1136"/>
    <w:p>
      <w:pPr>
        <w:pStyle w:val="0"/>
        <w:spacing w:before="200" w:line-rule="auto"/>
        <w:ind w:firstLine="540"/>
        <w:jc w:val="both"/>
      </w:pPr>
      <w:r>
        <w:rPr>
          <w:sz w:val="20"/>
        </w:rPr>
        <w:t xml:space="preserve">В случае недостижения значений результата предоставления субсидии и характеристик результата предоставления субсидии, выявленных по фактам проверок, проведенных министерством и уполномоченным органом государственного финансового контроля, субсидия подлежит возврату в областной бюджет в той части, в которой результат предоставления субсидии не достигнут.</w:t>
      </w:r>
    </w:p>
    <w:p>
      <w:pPr>
        <w:pStyle w:val="0"/>
        <w:jc w:val="both"/>
      </w:pPr>
      <w:r>
        <w:rPr>
          <w:sz w:val="20"/>
        </w:rPr>
        <w:t xml:space="preserve">(в ред. </w:t>
      </w:r>
      <w:hyperlink w:history="0" r:id="rId34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Размер субсидии, подлежащий возврату в областной бюджет в случае если получателем субсидии допущены нарушения обязательств по достижению результата предоставления субсидии, определяется по формуле:</w:t>
      </w:r>
    </w:p>
    <w:p>
      <w:pPr>
        <w:pStyle w:val="0"/>
        <w:jc w:val="both"/>
      </w:pPr>
      <w:r>
        <w:rPr>
          <w:sz w:val="20"/>
        </w:rPr>
        <w:t xml:space="preserve">(в ред. </w:t>
      </w:r>
      <w:hyperlink w:history="0" r:id="rId34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sz w:val="20"/>
        </w:rPr>
        <w:t xml:space="preserve">V</w:t>
      </w:r>
      <w:r>
        <w:rPr>
          <w:sz w:val="20"/>
          <w:vertAlign w:val="subscript"/>
        </w:rPr>
        <w:t xml:space="preserve">возврата</w:t>
      </w:r>
      <w:r>
        <w:rPr>
          <w:sz w:val="20"/>
        </w:rPr>
        <w:t xml:space="preserve"> = 0,1 x (Vсубсидии x k x m / n),</w:t>
      </w:r>
    </w:p>
    <w:p>
      <w:pPr>
        <w:pStyle w:val="0"/>
        <w:jc w:val="both"/>
      </w:pPr>
      <w:r>
        <w:rPr>
          <w:sz w:val="20"/>
        </w:rPr>
        <w:t xml:space="preserve">(в ред. </w:t>
      </w:r>
      <w:hyperlink w:history="0" r:id="rId34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34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Vсубсидии - размер предоставленной субсидии (в случае наличия неиспользованного остатка субсидии, подлежащей возврату в областной бюджет Новосибирской области, - средства субсидии, использованные организацией в рамках реализации мероприятий на дату окончания срока реализации мероприятий);</w:t>
      </w:r>
    </w:p>
    <w:p>
      <w:pPr>
        <w:pStyle w:val="0"/>
        <w:jc w:val="both"/>
      </w:pPr>
      <w:r>
        <w:rPr>
          <w:sz w:val="20"/>
        </w:rPr>
        <w:t xml:space="preserve">(в ред. </w:t>
      </w:r>
      <w:hyperlink w:history="0" r:id="rId34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k - коэффициент возврата субсидии;</w:t>
      </w:r>
    </w:p>
    <w:p>
      <w:pPr>
        <w:pStyle w:val="0"/>
        <w:jc w:val="both"/>
      </w:pPr>
      <w:r>
        <w:rPr>
          <w:sz w:val="20"/>
        </w:rPr>
        <w:t xml:space="preserve">(в ред. </w:t>
      </w:r>
      <w:hyperlink w:history="0" r:id="rId34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m - количество показателей использования субсидии, по которым не достигнуты плановые значения;</w:t>
      </w:r>
    </w:p>
    <w:p>
      <w:pPr>
        <w:pStyle w:val="0"/>
        <w:jc w:val="both"/>
      </w:pPr>
      <w:r>
        <w:rPr>
          <w:sz w:val="20"/>
        </w:rPr>
        <w:t xml:space="preserve">(в ред. </w:t>
      </w:r>
      <w:hyperlink w:history="0" r:id="rId34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n - общее количество показателей использования субсидии.</w:t>
      </w:r>
    </w:p>
    <w:p>
      <w:pPr>
        <w:pStyle w:val="0"/>
        <w:jc w:val="both"/>
      </w:pPr>
      <w:r>
        <w:rPr>
          <w:sz w:val="20"/>
        </w:rPr>
        <w:t xml:space="preserve">(в ред. </w:t>
      </w:r>
      <w:hyperlink w:history="0" r:id="rId35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Коэффициент возврата субсидии (k) рассчитывается по формуле:</w:t>
      </w:r>
    </w:p>
    <w:p>
      <w:pPr>
        <w:pStyle w:val="0"/>
        <w:jc w:val="both"/>
      </w:pPr>
      <w:r>
        <w:rPr>
          <w:sz w:val="20"/>
        </w:rPr>
        <w:t xml:space="preserve">(в ред. </w:t>
      </w:r>
      <w:hyperlink w:history="0" r:id="rId35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position w:val="-10"/>
        </w:rPr>
        <w:drawing>
          <wp:inline distT="0" distB="0" distL="0" distR="0">
            <wp:extent cx="1362075" cy="2571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52">
                      <a:extLst>
                        <a:ext uri="{28A0092B-C50C-407E-A947-70E740481C1C}">
                          <a14:useLocalDpi xmlns:a14="http://schemas.microsoft.com/office/drawing/2010/main" val="0"/>
                        </a:ext>
                      </a:extLst>
                    </a:blip>
                    <a:srcRect/>
                    <a:stretch>
                      <a:fillRect/>
                    </a:stretch>
                  </pic:blipFill>
                  <pic:spPr bwMode="auto">
                    <a:xfrm>
                      <a:off x="0" y="0"/>
                      <a:ext cx="1362075" cy="257175"/>
                    </a:xfrm>
                    <a:prstGeom prst="rect">
                      <a:avLst/>
                    </a:prstGeom>
                    <a:noFill/>
                    <a:ln>
                      <a:noFill/>
                    </a:ln>
                  </pic:spPr>
                </pic:pic>
              </a:graphicData>
            </a:graphic>
          </wp:inline>
        </w:drawing>
      </w:r>
    </w:p>
    <w:p>
      <w:pPr>
        <w:pStyle w:val="0"/>
        <w:jc w:val="both"/>
      </w:pPr>
      <w:r>
        <w:rPr>
          <w:sz w:val="20"/>
        </w:rPr>
        <w:t xml:space="preserve">(в ред. </w:t>
      </w:r>
      <w:hyperlink w:history="0" r:id="rId35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35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T</w:t>
      </w:r>
      <w:r>
        <w:rPr>
          <w:sz w:val="20"/>
          <w:vertAlign w:val="subscript"/>
        </w:rPr>
        <w:t xml:space="preserve">i</w:t>
      </w:r>
      <w:r>
        <w:rPr>
          <w:sz w:val="20"/>
        </w:rPr>
        <w:t xml:space="preserve"> - фактически достигнутое значение i-го показателя использования субсидии на отчетную дату;</w:t>
      </w:r>
    </w:p>
    <w:p>
      <w:pPr>
        <w:pStyle w:val="0"/>
        <w:jc w:val="both"/>
      </w:pPr>
      <w:r>
        <w:rPr>
          <w:sz w:val="20"/>
        </w:rPr>
        <w:t xml:space="preserve">(в ред. </w:t>
      </w:r>
      <w:hyperlink w:history="0" r:id="rId35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S</w:t>
      </w:r>
      <w:r>
        <w:rPr>
          <w:sz w:val="20"/>
          <w:vertAlign w:val="subscript"/>
        </w:rPr>
        <w:t xml:space="preserve">i</w:t>
      </w:r>
      <w:r>
        <w:rPr>
          <w:sz w:val="20"/>
        </w:rPr>
        <w:t xml:space="preserve"> - плановое значение i-го показателя использования субсидии, установленное соглашением.</w:t>
      </w:r>
    </w:p>
    <w:p>
      <w:pPr>
        <w:pStyle w:val="0"/>
        <w:jc w:val="both"/>
      </w:pPr>
      <w:r>
        <w:rPr>
          <w:sz w:val="20"/>
        </w:rPr>
        <w:t xml:space="preserve">(в ред. </w:t>
      </w:r>
      <w:hyperlink w:history="0" r:id="rId35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 течение 30 календарных дней со дня выявления указанных в </w:t>
      </w:r>
      <w:hyperlink w:history="0" w:anchor="P1135" w:tooltip="43.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и уполномоченным органом государственного финансового контроля, субсидия подлежит возврату в областной бюджет.">
        <w:r>
          <w:rPr>
            <w:sz w:val="20"/>
            <w:color w:val="0000ff"/>
          </w:rPr>
          <w:t xml:space="preserve">абзацах первом</w:t>
        </w:r>
      </w:hyperlink>
      <w:r>
        <w:rPr>
          <w:sz w:val="20"/>
        </w:rPr>
        <w:t xml:space="preserve"> и </w:t>
      </w:r>
      <w:hyperlink w:history="0" w:anchor="P1136" w:tooltip="В случае недостижения значений результата предоставления субсидии и характеристик результата предоставления субсидии, выявленных по фактам проверок, проведенных министерством и уполномоченным органом государственного финансового контроля, субсидия подлежит возврату в областной бюджет в той части, в которой результат предоставления субсидии не достигнут.">
        <w:r>
          <w:rPr>
            <w:sz w:val="20"/>
            <w:color w:val="0000ff"/>
          </w:rPr>
          <w:t xml:space="preserve">втором</w:t>
        </w:r>
      </w:hyperlink>
      <w:r>
        <w:rPr>
          <w:sz w:val="20"/>
        </w:rPr>
        <w:t xml:space="preserve"> настоящего пункта нарушений направляет организации письменное уведомление о возврате субсидии (части субсидии) в областной бюджет.</w:t>
      </w:r>
    </w:p>
    <w:p>
      <w:pPr>
        <w:pStyle w:val="0"/>
        <w:spacing w:before="200" w:line-rule="auto"/>
        <w:ind w:firstLine="540"/>
        <w:jc w:val="both"/>
      </w:pPr>
      <w:r>
        <w:rPr>
          <w:sz w:val="20"/>
        </w:rPr>
        <w:t xml:space="preserve">Организация обязана в течение 30 календарных дней со дня получения письменного уведомления от министерства о возврате субсидии перечислить указанную сумму денежных средств в областной бюджет.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44. Субсидии, не использованные организацией в сроки, предусмотренные соглашением, должны быть возвращены в областной бюджет в трехдневный срок с даты окончания срока использования субсидии, установленного соглашением.</w:t>
      </w:r>
    </w:p>
    <w:p>
      <w:pPr>
        <w:pStyle w:val="0"/>
        <w:spacing w:before="200" w:line-rule="auto"/>
        <w:ind w:firstLine="540"/>
        <w:jc w:val="both"/>
      </w:pPr>
      <w:r>
        <w:rPr>
          <w:sz w:val="20"/>
        </w:rPr>
        <w:t xml:space="preserve">В случае невозврата субсидии по истечении срока, указанного в настоящем пункте,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45. При реорганизации организации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pPr>
        <w:pStyle w:val="0"/>
        <w:spacing w:before="200" w:line-rule="auto"/>
        <w:ind w:firstLine="540"/>
        <w:jc w:val="both"/>
      </w:pPr>
      <w:r>
        <w:rPr>
          <w:sz w:val="20"/>
        </w:rPr>
        <w:t xml:space="preserve">При реорганизации организации в форме разделения, выделения, а также при ее ликвидации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организацией обязательствах, источником финансового обеспечения которых является субсидия, и возврате неиспользованного остатка субсидии в областной бюджет Новосибирской области.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5</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1182" w:name="P1182"/>
    <w:bookmarkEnd w:id="1182"/>
    <w:p>
      <w:pPr>
        <w:pStyle w:val="2"/>
        <w:jc w:val="center"/>
      </w:pPr>
      <w:r>
        <w:rPr>
          <w:sz w:val="20"/>
        </w:rPr>
        <w:t xml:space="preserve">ПОРЯДОК</w:t>
      </w:r>
    </w:p>
    <w:p>
      <w:pPr>
        <w:pStyle w:val="2"/>
        <w:jc w:val="center"/>
      </w:pPr>
      <w:r>
        <w:rPr>
          <w:sz w:val="20"/>
        </w:rPr>
        <w:t xml:space="preserve">ПРЕДОСТАВЛЕНИЯ ГРАНТОВ В ФОРМЕ СУБСИДИЙ ИЗ ОБЛАСТНОГО</w:t>
      </w:r>
    </w:p>
    <w:p>
      <w:pPr>
        <w:pStyle w:val="2"/>
        <w:jc w:val="center"/>
      </w:pPr>
      <w:r>
        <w:rPr>
          <w:sz w:val="20"/>
        </w:rPr>
        <w:t xml:space="preserve">БЮДЖЕТА НОВОСИБИРСКОЙ ОБЛАСТИ СОЦИАЛЬНО ОРИЕНТИРОВАННЫМ</w:t>
      </w:r>
    </w:p>
    <w:p>
      <w:pPr>
        <w:pStyle w:val="2"/>
        <w:jc w:val="center"/>
      </w:pPr>
      <w:r>
        <w:rPr>
          <w:sz w:val="20"/>
        </w:rPr>
        <w:t xml:space="preserve">НЕКОММЕРЧЕСКИМ ОРГАНИЗАЦИЯМ НА РЕАЛИЗАЦИЮ</w:t>
      </w:r>
    </w:p>
    <w:p>
      <w:pPr>
        <w:pStyle w:val="2"/>
        <w:jc w:val="center"/>
      </w:pPr>
      <w:r>
        <w:rPr>
          <w:sz w:val="20"/>
        </w:rPr>
        <w:t xml:space="preserve">СОЦИАЛЬНО ЗНАЧИМЫХ ПРОЕКТОВ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15.07.2024 </w:t>
            </w:r>
            <w:hyperlink w:history="0" r:id="rId357"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06.02.2025 </w:t>
            </w:r>
            <w:hyperlink w:history="0" r:id="rId35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N 48-п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Порядок предоставления грантов в форме субсидий из областного бюджета Новосибирской области социально ориентированным некоммерческим организациям на реализацию социально значимых проектов (далее - Порядок) определяет цели, условия предоставления из областного бюджета Новосибирской области (далее - областной бюджет) грантов в форме субсидий (далее - гранты) социально ориентированным некоммерческим организациям на реализацию социально значимых проектов при реализации мероприятий государственной </w:t>
      </w:r>
      <w:hyperlink w:history="0" w:anchor="P81" w:tooltip="ГОСУДАРСТВЕННАЯ ПРОГРАММА">
        <w:r>
          <w:rPr>
            <w:sz w:val="20"/>
            <w:color w:val="0000ff"/>
          </w:rPr>
          <w:t xml:space="preserve">программы</w:t>
        </w:r>
      </w:hyperlink>
      <w:r>
        <w:rPr>
          <w:sz w:val="20"/>
        </w:rPr>
        <w:t xml:space="preserve"> Новосибирской области "Развитие институтов региональной политики и гражданского общества в Новосибирской области" (далее - государственная программа).</w:t>
      </w:r>
    </w:p>
    <w:p>
      <w:pPr>
        <w:pStyle w:val="0"/>
        <w:spacing w:before="200" w:line-rule="auto"/>
        <w:ind w:firstLine="540"/>
        <w:jc w:val="both"/>
      </w:pPr>
      <w:r>
        <w:rPr>
          <w:sz w:val="20"/>
        </w:rPr>
        <w:t xml:space="preserve">2. Порядок разработан в соответствии с </w:t>
      </w:r>
      <w:hyperlink w:history="0" r:id="rId359"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4 статьи 78.1</w:t>
        </w:r>
      </w:hyperlink>
      <w:r>
        <w:rPr>
          <w:sz w:val="20"/>
        </w:rPr>
        <w:t xml:space="preserve"> Бюджетного кодекса Российской Федерации, Федеральным </w:t>
      </w:r>
      <w:hyperlink w:history="0" r:id="rId360"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w:t>
      </w:r>
      <w:hyperlink w:history="0" r:id="rId361" w:tooltip="Постановление Правительства РФ от 25.10.2023 N 1782 (ред. от 16.11.2024) &quo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quot; {КонсультантПлюс}">
        <w:r>
          <w:rPr>
            <w:sz w:val="20"/>
            <w:color w:val="0000ff"/>
          </w:rPr>
          <w:t xml:space="preserve">постановлением</w:t>
        </w:r>
      </w:hyperlink>
      <w:r>
        <w:rPr>
          <w:sz w:val="20"/>
        </w:rP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w:history="0" r:id="rId362"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w:t>
      </w:r>
    </w:p>
    <w:bookmarkStart w:id="1193" w:name="P1193"/>
    <w:bookmarkEnd w:id="1193"/>
    <w:p>
      <w:pPr>
        <w:pStyle w:val="0"/>
        <w:spacing w:before="200" w:line-rule="auto"/>
        <w:ind w:firstLine="540"/>
        <w:jc w:val="both"/>
      </w:pPr>
      <w:r>
        <w:rPr>
          <w:sz w:val="20"/>
        </w:rPr>
        <w:t xml:space="preserve">3. Министерство региональной политики Новосибирской области (далее - министерство) является областным исполнительным органом государственной власти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w:t>
      </w:r>
    </w:p>
    <w:p>
      <w:pPr>
        <w:pStyle w:val="0"/>
        <w:spacing w:before="200" w:line-rule="auto"/>
        <w:ind w:firstLine="540"/>
        <w:jc w:val="both"/>
      </w:pPr>
      <w:r>
        <w:rPr>
          <w:sz w:val="20"/>
        </w:rPr>
        <w:t xml:space="preserve">Информация о грантах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в порядке, установленном Министерством финансов Российской Федерации.</w:t>
      </w:r>
    </w:p>
    <w:bookmarkStart w:id="1195" w:name="P1195"/>
    <w:bookmarkEnd w:id="1195"/>
    <w:p>
      <w:pPr>
        <w:pStyle w:val="0"/>
        <w:spacing w:before="200" w:line-rule="auto"/>
        <w:ind w:firstLine="540"/>
        <w:jc w:val="both"/>
      </w:pPr>
      <w:r>
        <w:rPr>
          <w:sz w:val="20"/>
        </w:rPr>
        <w:t xml:space="preserve">4. Гранты предоставляются министерством в целях финансового обеспечения затрат при выполнении мероприятий, предусмотренных государственной программой, на реализацию социально значимых проектов (далее - проекты) социально ориентированным некоммерческим организациям.</w:t>
      </w:r>
    </w:p>
    <w:p>
      <w:pPr>
        <w:pStyle w:val="0"/>
        <w:spacing w:before="200" w:line-rule="auto"/>
        <w:ind w:firstLine="540"/>
        <w:jc w:val="both"/>
      </w:pPr>
      <w:r>
        <w:rPr>
          <w:sz w:val="20"/>
        </w:rPr>
        <w:t xml:space="preserve">За счет предоставленного гранта запрещается осуществлять расходы, напрямую не связанные с реализацией проекта.</w:t>
      </w:r>
    </w:p>
    <w:bookmarkStart w:id="1197" w:name="P1197"/>
    <w:bookmarkEnd w:id="1197"/>
    <w:p>
      <w:pPr>
        <w:pStyle w:val="0"/>
        <w:spacing w:before="200" w:line-rule="auto"/>
        <w:ind w:firstLine="540"/>
        <w:jc w:val="both"/>
      </w:pPr>
      <w:r>
        <w:rPr>
          <w:sz w:val="20"/>
        </w:rPr>
        <w:t xml:space="preserve">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w:t>
      </w:r>
      <w:hyperlink w:history="0" r:id="rId363"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и </w:t>
      </w:r>
      <w:hyperlink w:history="0" r:id="rId364"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 за исключением общественных объединений, являющихся политическими партиями, государственных и муниципальных учреждений (далее - организации).</w:t>
      </w:r>
    </w:p>
    <w:p>
      <w:pPr>
        <w:pStyle w:val="0"/>
        <w:ind w:firstLine="540"/>
        <w:jc w:val="both"/>
      </w:pPr>
      <w:r>
        <w:rPr>
          <w:sz w:val="20"/>
        </w:rPr>
      </w:r>
    </w:p>
    <w:p>
      <w:pPr>
        <w:pStyle w:val="2"/>
        <w:outlineLvl w:val="1"/>
        <w:jc w:val="center"/>
      </w:pPr>
      <w:r>
        <w:rPr>
          <w:sz w:val="20"/>
        </w:rPr>
        <w:t xml:space="preserve">Порядок проведения отбора организаций</w:t>
      </w:r>
    </w:p>
    <w:p>
      <w:pPr>
        <w:pStyle w:val="2"/>
        <w:jc w:val="center"/>
      </w:pPr>
      <w:r>
        <w:rPr>
          <w:sz w:val="20"/>
        </w:rPr>
        <w:t xml:space="preserve">для предоставления грантов</w:t>
      </w:r>
    </w:p>
    <w:p>
      <w:pPr>
        <w:pStyle w:val="0"/>
        <w:ind w:firstLine="540"/>
        <w:jc w:val="both"/>
      </w:pPr>
      <w:r>
        <w:rPr>
          <w:sz w:val="20"/>
        </w:rPr>
      </w:r>
    </w:p>
    <w:p>
      <w:pPr>
        <w:pStyle w:val="0"/>
        <w:ind w:firstLine="540"/>
        <w:jc w:val="both"/>
      </w:pPr>
      <w:r>
        <w:rPr>
          <w:sz w:val="20"/>
        </w:rPr>
        <w:t xml:space="preserve">6. Гранты предоставляются по результатам отбора, организатором которого является министерство.</w:t>
      </w:r>
    </w:p>
    <w:p>
      <w:pPr>
        <w:pStyle w:val="0"/>
        <w:spacing w:before="200" w:line-rule="auto"/>
        <w:ind w:firstLine="540"/>
        <w:jc w:val="both"/>
      </w:pPr>
      <w:r>
        <w:rPr>
          <w:sz w:val="20"/>
        </w:rPr>
        <w:t xml:space="preserve">Отбор организаций осуществляется на конкурентной основе путем проведения конкурса исходя из наилучших условий достижения результатов предоставления гранта.</w:t>
      </w:r>
    </w:p>
    <w:p>
      <w:pPr>
        <w:pStyle w:val="0"/>
        <w:spacing w:before="200" w:line-rule="auto"/>
        <w:ind w:firstLine="540"/>
        <w:jc w:val="both"/>
      </w:pPr>
      <w:r>
        <w:rPr>
          <w:sz w:val="20"/>
        </w:rPr>
        <w:t xml:space="preserve">Информация о проведении конкурса (объявление о проведении конкурса, его отмене, информация о ходе и результатах конкурса) размещается министерством в информационно-телекоммуникационной сети "Интернет" на едином портале,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не ранее размещения информации о гранте в соответствии с </w:t>
      </w:r>
      <w:hyperlink w:history="0" w:anchor="P1193" w:tooltip="3. Министерство региональной политики Новосибирской области (далее - министерство) является областным исполнительным органом государственной власти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
        <w:r>
          <w:rPr>
            <w:sz w:val="20"/>
            <w:color w:val="0000ff"/>
          </w:rPr>
          <w:t xml:space="preserve">пунктом 3</w:t>
        </w:r>
      </w:hyperlink>
      <w:r>
        <w:rPr>
          <w:sz w:val="20"/>
        </w:rPr>
        <w:t xml:space="preserve"> Порядка.</w:t>
      </w:r>
    </w:p>
    <w:p>
      <w:pPr>
        <w:pStyle w:val="0"/>
        <w:jc w:val="both"/>
      </w:pPr>
      <w:r>
        <w:rPr>
          <w:sz w:val="20"/>
        </w:rPr>
        <w:t xml:space="preserve">(в ред. </w:t>
      </w:r>
      <w:hyperlink w:history="0" r:id="rId36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организаций осуществляется в государственной интегрированной информационной системе управления общественными финансами "Электронный бюджет" (в разделе предоставления мер финансовой государственной поддержки) (далее - система "Электронный бюджет").</w:t>
      </w:r>
    </w:p>
    <w:p>
      <w:pPr>
        <w:pStyle w:val="0"/>
        <w:jc w:val="both"/>
      </w:pPr>
      <w:r>
        <w:rPr>
          <w:sz w:val="20"/>
        </w:rPr>
        <w:t xml:space="preserve">(абзац введен </w:t>
      </w:r>
      <w:hyperlink w:history="0" r:id="rId36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Взаимодействие министерства, конкурсной комиссии для рассмотрения и оценки заявок социально ориентированных некоммерческих организаций (далее - конкурсная комиссия) с организациями осуществляется с использованием документов в электронной форме в системе "Электронный бюджет".</w:t>
      </w:r>
    </w:p>
    <w:p>
      <w:pPr>
        <w:pStyle w:val="0"/>
        <w:jc w:val="both"/>
      </w:pPr>
      <w:r>
        <w:rPr>
          <w:sz w:val="20"/>
        </w:rPr>
        <w:t xml:space="preserve">(абзац введен </w:t>
      </w:r>
      <w:hyperlink w:history="0" r:id="rId36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Доступ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0"/>
        <w:jc w:val="both"/>
      </w:pPr>
      <w:r>
        <w:rPr>
          <w:sz w:val="20"/>
        </w:rPr>
        <w:t xml:space="preserve">(абзац введен </w:t>
      </w:r>
      <w:hyperlink w:history="0" r:id="rId36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В целях проведения отбора организаций для предоставления грантов министерство:</w:t>
      </w:r>
    </w:p>
    <w:p>
      <w:pPr>
        <w:pStyle w:val="0"/>
        <w:spacing w:before="200" w:line-rule="auto"/>
        <w:ind w:firstLine="540"/>
        <w:jc w:val="both"/>
      </w:pPr>
      <w:r>
        <w:rPr>
          <w:sz w:val="20"/>
        </w:rPr>
        <w:t xml:space="preserve">1) издает приказ об объявлении конкурса,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направления конкурса;</w:t>
      </w:r>
    </w:p>
    <w:p>
      <w:pPr>
        <w:pStyle w:val="0"/>
        <w:spacing w:before="200" w:line-rule="auto"/>
        <w:ind w:firstLine="540"/>
        <w:jc w:val="both"/>
      </w:pPr>
      <w:r>
        <w:rPr>
          <w:sz w:val="20"/>
        </w:rPr>
        <w:t xml:space="preserve">результаты предоставления гранта, их характеристики (показатели, необходимые для достижения результата предоставления гранта);</w:t>
      </w:r>
    </w:p>
    <w:p>
      <w:pPr>
        <w:pStyle w:val="0"/>
        <w:jc w:val="both"/>
      </w:pPr>
      <w:r>
        <w:rPr>
          <w:sz w:val="20"/>
        </w:rPr>
        <w:t xml:space="preserve">(в ред. </w:t>
      </w:r>
      <w:hyperlink w:history="0" r:id="rId36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дату начала подачи и окончания приема заявок на участие в конкурсе (далее - заявки);</w:t>
      </w:r>
    </w:p>
    <w:p>
      <w:pPr>
        <w:pStyle w:val="0"/>
        <w:spacing w:before="200" w:line-rule="auto"/>
        <w:ind w:firstLine="540"/>
        <w:jc w:val="both"/>
      </w:pPr>
      <w:r>
        <w:rPr>
          <w:sz w:val="20"/>
        </w:rPr>
        <w:t xml:space="preserve">абзац утратил силу. - </w:t>
      </w:r>
      <w:hyperlink w:history="0" r:id="rId37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срок реализации проектов организациями;</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абзац утратил силу. - </w:t>
      </w:r>
      <w:hyperlink w:history="0" r:id="rId37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положение о конкурсной комиссии и состав конкурсной комиссии;</w:t>
      </w:r>
    </w:p>
    <w:p>
      <w:pPr>
        <w:pStyle w:val="0"/>
        <w:jc w:val="both"/>
      </w:pPr>
      <w:r>
        <w:rPr>
          <w:sz w:val="20"/>
        </w:rPr>
        <w:t xml:space="preserve">(в ред. </w:t>
      </w:r>
      <w:hyperlink w:history="0" r:id="rId37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устанавливает максимальный размер гранта;</w:t>
      </w:r>
    </w:p>
    <w:p>
      <w:pPr>
        <w:pStyle w:val="0"/>
        <w:spacing w:before="200" w:line-rule="auto"/>
        <w:ind w:firstLine="540"/>
        <w:jc w:val="both"/>
      </w:pPr>
      <w:r>
        <w:rPr>
          <w:sz w:val="20"/>
        </w:rPr>
        <w:t xml:space="preserve">2) размещает объявление о проведении конкурса в соответствии с </w:t>
      </w:r>
      <w:hyperlink w:history="0" w:anchor="P1245" w:tooltip="9. Объявление о проведении конкурса формируется в электронном виде в системе &quot;Электронный бюджет&quot;,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на едином портале не позднее чем за 30 календарных дней до окончания срока приема зая...">
        <w:r>
          <w:rPr>
            <w:sz w:val="20"/>
            <w:color w:val="0000ff"/>
          </w:rPr>
          <w:t xml:space="preserve">пунктом 9</w:t>
        </w:r>
      </w:hyperlink>
      <w:r>
        <w:rPr>
          <w:sz w:val="20"/>
        </w:rPr>
        <w:t xml:space="preserve"> Порядка;</w:t>
      </w:r>
    </w:p>
    <w:p>
      <w:pPr>
        <w:pStyle w:val="0"/>
        <w:jc w:val="both"/>
      </w:pPr>
      <w:r>
        <w:rPr>
          <w:sz w:val="20"/>
        </w:rPr>
        <w:t xml:space="preserve">(в ред. </w:t>
      </w:r>
      <w:hyperlink w:history="0" r:id="rId37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организует консультирование по вопросам подготовки заявок;</w:t>
      </w:r>
    </w:p>
    <w:p>
      <w:pPr>
        <w:pStyle w:val="0"/>
        <w:spacing w:before="200" w:line-rule="auto"/>
        <w:ind w:firstLine="540"/>
        <w:jc w:val="both"/>
      </w:pPr>
      <w:r>
        <w:rPr>
          <w:sz w:val="20"/>
        </w:rPr>
        <w:t xml:space="preserve">4) утратил силу. - </w:t>
      </w:r>
      <w:hyperlink w:history="0" r:id="rId37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осуществляет проверку поданных заявок в соответствии с </w:t>
      </w:r>
      <w:hyperlink w:history="0" w:anchor="P1313" w:tooltip="18.1. Проверка организации на соответствие требованиям, указанным в пункте 12 Порядка, осуществляется автоматически в системе &quot;Электронный бюджет&quot;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r>
          <w:rPr>
            <w:sz w:val="20"/>
            <w:color w:val="0000ff"/>
          </w:rPr>
          <w:t xml:space="preserve">пунктами 18.1</w:t>
        </w:r>
      </w:hyperlink>
      <w:r>
        <w:rPr>
          <w:sz w:val="20"/>
        </w:rPr>
        <w:t xml:space="preserve">, </w:t>
      </w:r>
      <w:hyperlink w:history="0" w:anchor="P1316" w:tooltip="19. Министерство на стадии проверки документов организации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
        <w:r>
          <w:rPr>
            <w:sz w:val="20"/>
            <w:color w:val="0000ff"/>
          </w:rPr>
          <w:t xml:space="preserve">19</w:t>
        </w:r>
      </w:hyperlink>
      <w:r>
        <w:rPr>
          <w:sz w:val="20"/>
        </w:rPr>
        <w:t xml:space="preserve"> Порядка;</w:t>
      </w:r>
    </w:p>
    <w:p>
      <w:pPr>
        <w:pStyle w:val="0"/>
        <w:jc w:val="both"/>
      </w:pPr>
      <w:r>
        <w:rPr>
          <w:sz w:val="20"/>
        </w:rPr>
        <w:t xml:space="preserve">(в ред. </w:t>
      </w:r>
      <w:hyperlink w:history="0" r:id="rId37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6) утратил силу. - </w:t>
      </w:r>
      <w:hyperlink w:history="0" r:id="rId37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организует работу конкурсной комиссии;</w:t>
      </w:r>
    </w:p>
    <w:p>
      <w:pPr>
        <w:pStyle w:val="0"/>
        <w:spacing w:before="200" w:line-rule="auto"/>
        <w:ind w:firstLine="540"/>
        <w:jc w:val="both"/>
      </w:pPr>
      <w:r>
        <w:rPr>
          <w:sz w:val="20"/>
        </w:rPr>
        <w:t xml:space="preserve">8) на основании решения конкурсной комиссии издает приказ о результатах конкурса;</w:t>
      </w:r>
    </w:p>
    <w:p>
      <w:pPr>
        <w:pStyle w:val="0"/>
        <w:spacing w:before="200" w:line-rule="auto"/>
        <w:ind w:firstLine="540"/>
        <w:jc w:val="both"/>
      </w:pPr>
      <w:r>
        <w:rPr>
          <w:sz w:val="20"/>
        </w:rPr>
        <w:t xml:space="preserve">9) заключает соглашения о предоставлении грантов (далее - соглашения).</w:t>
      </w:r>
    </w:p>
    <w:bookmarkStart w:id="1236" w:name="P1236"/>
    <w:bookmarkEnd w:id="1236"/>
    <w:p>
      <w:pPr>
        <w:pStyle w:val="0"/>
        <w:spacing w:before="200" w:line-rule="auto"/>
        <w:ind w:firstLine="540"/>
        <w:jc w:val="both"/>
      </w:pPr>
      <w:r>
        <w:rPr>
          <w:sz w:val="20"/>
        </w:rPr>
        <w:t xml:space="preserve">8. Не позднее чем за два рабочих дня до даты окончания срока подачи заявок организациями министерство вправе отменить конкурс путем издания соответствующего приказа.</w:t>
      </w:r>
    </w:p>
    <w:p>
      <w:pPr>
        <w:pStyle w:val="0"/>
        <w:spacing w:before="200" w:line-rule="auto"/>
        <w:ind w:firstLine="540"/>
        <w:jc w:val="both"/>
      </w:pPr>
      <w:r>
        <w:rPr>
          <w:sz w:val="20"/>
        </w:rPr>
        <w:t xml:space="preserve">Министерство принимает решение об отмене конкурса в случае уменьшения или отзыва ранее доведенных лимитов бюджетных ассигнований на предоставление грантов, установленных министерству на текущий финансовый год в пределах лимитов бюджетных обязательств в соответствии со сводной бюджетной росписью и кассовым планом областного бюджета, приводящих к невозможности предоставления грантов.</w:t>
      </w:r>
    </w:p>
    <w:p>
      <w:pPr>
        <w:pStyle w:val="0"/>
        <w:spacing w:before="200" w:line-rule="auto"/>
        <w:ind w:firstLine="540"/>
        <w:jc w:val="both"/>
      </w:pPr>
      <w:r>
        <w:rPr>
          <w:sz w:val="20"/>
        </w:rPr>
        <w:t xml:space="preserve">Организации, подавшие заявки, информируются об отмене проведения конкурса в системе "Электронный бюджет", на официальном сайте министерства.</w:t>
      </w:r>
    </w:p>
    <w:p>
      <w:pPr>
        <w:pStyle w:val="0"/>
        <w:jc w:val="both"/>
      </w:pPr>
      <w:r>
        <w:rPr>
          <w:sz w:val="20"/>
        </w:rPr>
        <w:t xml:space="preserve">(в ред. </w:t>
      </w:r>
      <w:hyperlink w:history="0" r:id="rId37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Конкурс считается отмененным со дня размещения объявления о его отмене на едином портале.</w:t>
      </w:r>
    </w:p>
    <w:p>
      <w:pPr>
        <w:pStyle w:val="0"/>
        <w:jc w:val="both"/>
      </w:pPr>
      <w:r>
        <w:rPr>
          <w:sz w:val="20"/>
        </w:rPr>
        <w:t xml:space="preserve">(в ред. </w:t>
      </w:r>
      <w:hyperlink w:history="0" r:id="rId37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После окончания срока отмены конкурса в соответствии с </w:t>
      </w:r>
      <w:hyperlink w:history="0" w:anchor="P1236" w:tooltip="8. Не позднее чем за два рабочих дня до даты окончания срока подачи заявок организациями министерство вправе отменить конкурс путем издания соответствующего приказа.">
        <w:r>
          <w:rPr>
            <w:sz w:val="20"/>
            <w:color w:val="0000ff"/>
          </w:rPr>
          <w:t xml:space="preserve">абзацем первым</w:t>
        </w:r>
      </w:hyperlink>
      <w:r>
        <w:rPr>
          <w:sz w:val="20"/>
        </w:rPr>
        <w:t xml:space="preserve"> настоящего пункта и до заключения соглашения с победителем (победителями) конкурса министерство может отменить конкурс только в случае возникновения обстоятельств непреодолимой силы в соответствии с </w:t>
      </w:r>
      <w:hyperlink w:history="0" r:id="rId379" w:tooltip="&quot;Гражданский кодекс Российской Федерации (часть первая)&quot; от 30.11.1994 N 51-ФЗ (ред. от 08.08.2024, с изм. от 31.10.2024) {КонсультантПлюс}">
        <w:r>
          <w:rPr>
            <w:sz w:val="20"/>
            <w:color w:val="0000ff"/>
          </w:rPr>
          <w:t xml:space="preserve">пунктом 3 статьи 401</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Объявление об отмене конкурса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главного распорядителя бюджетных средств и содержит информацию о причинах отмены конкурса.</w:t>
      </w:r>
    </w:p>
    <w:p>
      <w:pPr>
        <w:pStyle w:val="0"/>
        <w:jc w:val="both"/>
      </w:pPr>
      <w:r>
        <w:rPr>
          <w:sz w:val="20"/>
        </w:rPr>
        <w:t xml:space="preserve">(абзац введен </w:t>
      </w:r>
      <w:hyperlink w:history="0" r:id="rId38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245" w:name="P1245"/>
    <w:bookmarkEnd w:id="1245"/>
    <w:p>
      <w:pPr>
        <w:pStyle w:val="0"/>
        <w:spacing w:before="200" w:line-rule="auto"/>
        <w:ind w:firstLine="540"/>
        <w:jc w:val="both"/>
      </w:pPr>
      <w:r>
        <w:rPr>
          <w:sz w:val="20"/>
        </w:rPr>
        <w:t xml:space="preserve">9. Объявление о проведении конкурса формируется в электронном виде в системе "Электронный бюджет",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на едином портале не позднее чем за 30 календарных дней до окончания срока приема заявок.</w:t>
      </w:r>
    </w:p>
    <w:p>
      <w:pPr>
        <w:pStyle w:val="0"/>
        <w:jc w:val="both"/>
      </w:pPr>
      <w:r>
        <w:rPr>
          <w:sz w:val="20"/>
        </w:rPr>
        <w:t xml:space="preserve">(в ред. </w:t>
      </w:r>
      <w:hyperlink w:history="0" r:id="rId38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 Объявление о проведении конкурса содержит:</w:t>
      </w:r>
    </w:p>
    <w:p>
      <w:pPr>
        <w:pStyle w:val="0"/>
        <w:spacing w:before="200" w:line-rule="auto"/>
        <w:ind w:firstLine="540"/>
        <w:jc w:val="both"/>
      </w:pPr>
      <w:r>
        <w:rPr>
          <w:sz w:val="20"/>
        </w:rPr>
        <w:t xml:space="preserve">1) сроки проведения конкурса;</w:t>
      </w:r>
    </w:p>
    <w:p>
      <w:pPr>
        <w:pStyle w:val="0"/>
        <w:spacing w:before="200" w:line-rule="auto"/>
        <w:ind w:firstLine="540"/>
        <w:jc w:val="both"/>
      </w:pPr>
      <w:r>
        <w:rPr>
          <w:sz w:val="20"/>
        </w:rPr>
        <w:t xml:space="preserve">2) дату начала подачи и окончания приема предложений (заявок) организаций, которая не может быть ранее 30-го календарного дня, следующего за днем размещения объявления о проведении конкурса;</w:t>
      </w:r>
    </w:p>
    <w:p>
      <w:pPr>
        <w:pStyle w:val="0"/>
        <w:spacing w:before="200" w:line-rule="auto"/>
        <w:ind w:firstLine="540"/>
        <w:jc w:val="both"/>
      </w:pPr>
      <w:r>
        <w:rPr>
          <w:sz w:val="20"/>
        </w:rPr>
        <w:t xml:space="preserve">3) наименование, место нахождения, почтовый адрес, адрес электронной почты министерства;</w:t>
      </w:r>
    </w:p>
    <w:p>
      <w:pPr>
        <w:pStyle w:val="0"/>
        <w:spacing w:before="200" w:line-rule="auto"/>
        <w:ind w:firstLine="540"/>
        <w:jc w:val="both"/>
      </w:pPr>
      <w:r>
        <w:rPr>
          <w:sz w:val="20"/>
        </w:rPr>
        <w:t xml:space="preserve">4) результаты предоставления гранта, их характеристики (показатели, необходимые для достижения результата предоставления гранта) в соответствии с </w:t>
      </w:r>
      <w:hyperlink w:history="0" w:anchor="P1446" w:tooltip="28. Результатом, в целях достижения которого предоставляется грант (далее - результат предоставления гранта), является реализованный социально значимый проект.">
        <w:r>
          <w:rPr>
            <w:sz w:val="20"/>
            <w:color w:val="0000ff"/>
          </w:rPr>
          <w:t xml:space="preserve">пунктом 28</w:t>
        </w:r>
      </w:hyperlink>
      <w:r>
        <w:rPr>
          <w:sz w:val="20"/>
        </w:rPr>
        <w:t xml:space="preserve"> Порядка;</w:t>
      </w:r>
    </w:p>
    <w:p>
      <w:pPr>
        <w:pStyle w:val="0"/>
        <w:jc w:val="both"/>
      </w:pPr>
      <w:r>
        <w:rPr>
          <w:sz w:val="20"/>
        </w:rPr>
        <w:t xml:space="preserve">(в ред. </w:t>
      </w:r>
      <w:hyperlink w:history="0" r:id="rId38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доменное имя и (или) сетевой адрес и (или) указатель страниц сайта в сети "Интернет";</w:t>
      </w:r>
    </w:p>
    <w:p>
      <w:pPr>
        <w:pStyle w:val="0"/>
        <w:spacing w:before="200" w:line-rule="auto"/>
        <w:ind w:firstLine="540"/>
        <w:jc w:val="both"/>
      </w:pPr>
      <w:r>
        <w:rPr>
          <w:sz w:val="20"/>
        </w:rPr>
        <w:t xml:space="preserve">6) требования к организациям в соответствии с </w:t>
      </w:r>
      <w:hyperlink w:history="0" w:anchor="P1271" w:tooltip="12. Организация должна соответствовать следующим требованиям:">
        <w:r>
          <w:rPr>
            <w:sz w:val="20"/>
            <w:color w:val="0000ff"/>
          </w:rPr>
          <w:t xml:space="preserve">пунктом 12</w:t>
        </w:r>
      </w:hyperlink>
      <w:r>
        <w:rPr>
          <w:sz w:val="20"/>
        </w:rPr>
        <w:t xml:space="preserve"> Порядка и перечню документов, представляемых организациями для подтверждения их соответствия указанным требованиям;</w:t>
      </w:r>
    </w:p>
    <w:p>
      <w:pPr>
        <w:pStyle w:val="0"/>
        <w:spacing w:before="200" w:line-rule="auto"/>
        <w:ind w:firstLine="540"/>
        <w:jc w:val="both"/>
      </w:pPr>
      <w:r>
        <w:rPr>
          <w:sz w:val="20"/>
        </w:rPr>
        <w:t xml:space="preserve">7) порядок подачи заявок организациями и требования, предъявляемые к форме и содержанию заявок, подаваемых организациями, в соответствии с </w:t>
      </w:r>
      <w:hyperlink w:history="0" w:anchor="P1282"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пунктами 13</w:t>
        </w:r>
      </w:hyperlink>
      <w:r>
        <w:rPr>
          <w:sz w:val="20"/>
        </w:rPr>
        <w:t xml:space="preserve"> - </w:t>
      </w:r>
      <w:hyperlink w:history="0" w:anchor="P1293"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8) порядок отзыва заявок организациями, порядок возврата заявок организациям на доработку, определяющий в том числе основания для возврата заявок организациям на доработку, порядок внесения изменений в заявки организациями в соответствии с </w:t>
      </w:r>
      <w:hyperlink w:history="0" w:anchor="P1299" w:tooltip="16. Заявка может быть отозвана организацией в любое время до даты окончания проведения конкурса.">
        <w:r>
          <w:rPr>
            <w:sz w:val="20"/>
            <w:color w:val="0000ff"/>
          </w:rPr>
          <w:t xml:space="preserve">пунктом 16</w:t>
        </w:r>
      </w:hyperlink>
      <w:r>
        <w:rPr>
          <w:sz w:val="20"/>
        </w:rPr>
        <w:t xml:space="preserve"> Порядка, порядок отклонения заявок в соответствии с </w:t>
      </w:r>
      <w:hyperlink w:history="0" w:anchor="P1334" w:tooltip="20. Основаниями для отклонения заявки на стадии рассмотрения и оценки заявок являются:">
        <w:r>
          <w:rPr>
            <w:sz w:val="20"/>
            <w:color w:val="0000ff"/>
          </w:rPr>
          <w:t xml:space="preserve">пунктом 20</w:t>
        </w:r>
      </w:hyperlink>
      <w:r>
        <w:rPr>
          <w:sz w:val="20"/>
        </w:rPr>
        <w:t xml:space="preserve"> Порядка;</w:t>
      </w:r>
    </w:p>
    <w:p>
      <w:pPr>
        <w:pStyle w:val="0"/>
        <w:spacing w:before="200" w:line-rule="auto"/>
        <w:ind w:firstLine="540"/>
        <w:jc w:val="both"/>
      </w:pPr>
      <w:r>
        <w:rPr>
          <w:sz w:val="20"/>
        </w:rPr>
        <w:t xml:space="preserve">9) правила рассмотрения и оценки заявок, порядок отклонения заявок организаций в соответствии с </w:t>
      </w:r>
      <w:hyperlink w:history="0" w:anchor="P1310" w:tooltip="18. Доступ министерства, конкурсной комиссии к заявкам организаций открывается в системе &quot;Электронный бюджет&quot; со дня начала срока подачи заявок.">
        <w:r>
          <w:rPr>
            <w:sz w:val="20"/>
            <w:color w:val="0000ff"/>
          </w:rPr>
          <w:t xml:space="preserve">пунктами 18</w:t>
        </w:r>
      </w:hyperlink>
      <w:r>
        <w:rPr>
          <w:sz w:val="20"/>
        </w:rPr>
        <w:t xml:space="preserve"> - </w:t>
      </w:r>
      <w:hyperlink w:history="0" w:anchor="P1334" w:tooltip="20. Основаниями для отклонения заявки на стадии рассмотрения и оценки заявок являются:">
        <w:r>
          <w:rPr>
            <w:sz w:val="20"/>
            <w:color w:val="0000ff"/>
          </w:rPr>
          <w:t xml:space="preserve">20</w:t>
        </w:r>
      </w:hyperlink>
      <w:r>
        <w:rPr>
          <w:sz w:val="20"/>
        </w:rPr>
        <w:t xml:space="preserve">, </w:t>
      </w:r>
      <w:hyperlink w:history="0" w:anchor="P1346"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22</w:t>
        </w:r>
      </w:hyperlink>
      <w:r>
        <w:rPr>
          <w:sz w:val="20"/>
        </w:rPr>
        <w:t xml:space="preserve">, </w:t>
      </w:r>
      <w:hyperlink w:history="0" w:anchor="P1434" w:tooltip="25. В течение пяти рабочих дней со дня размещения на едином портале протокола подведения итогов конкурса издает приказ о результатах конкурса с указанием организаций - победителей конкурса и размера предоставляемых им грантов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w:r>
          <w:rPr>
            <w:sz w:val="20"/>
            <w:color w:val="0000ff"/>
          </w:rPr>
          <w:t xml:space="preserve">25</w:t>
        </w:r>
      </w:hyperlink>
      <w:r>
        <w:rPr>
          <w:sz w:val="20"/>
        </w:rPr>
        <w:t xml:space="preserve"> Порядка;</w:t>
      </w:r>
    </w:p>
    <w:p>
      <w:pPr>
        <w:pStyle w:val="0"/>
        <w:spacing w:before="200" w:line-rule="auto"/>
        <w:ind w:firstLine="540"/>
        <w:jc w:val="both"/>
      </w:pPr>
      <w:r>
        <w:rPr>
          <w:sz w:val="20"/>
        </w:rPr>
        <w:t xml:space="preserve">10) порядок предоставления организациям разъяснений положений объявления о проведении конкурса, даты начала и окончания срока такого предоставления;</w:t>
      </w:r>
    </w:p>
    <w:p>
      <w:pPr>
        <w:pStyle w:val="0"/>
        <w:jc w:val="both"/>
      </w:pPr>
      <w:r>
        <w:rPr>
          <w:sz w:val="20"/>
        </w:rPr>
        <w:t xml:space="preserve">(в ред. </w:t>
      </w:r>
      <w:hyperlink w:history="0" r:id="rId38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информацию об объеме распределяемого гранта в рамках конкурса, о порядке расчета размера гранта в соответствии с </w:t>
      </w:r>
      <w:hyperlink w:history="0" w:anchor="P1445" w:tooltip="27. Размер гранта определяется в соответствии с запрашиваемым размером гранта, указанным в заявке, но не более предельного размера гранта, установленного в объявлении о проведении конкурса.">
        <w:r>
          <w:rPr>
            <w:sz w:val="20"/>
            <w:color w:val="0000ff"/>
          </w:rPr>
          <w:t xml:space="preserve">пунктом 27</w:t>
        </w:r>
      </w:hyperlink>
      <w:r>
        <w:rPr>
          <w:sz w:val="20"/>
        </w:rPr>
        <w:t xml:space="preserve"> Порядка, правилах распределения гранта в соответствии с </w:t>
      </w:r>
      <w:hyperlink w:history="0" w:anchor="P1346"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пунктом 22</w:t>
        </w:r>
      </w:hyperlink>
      <w:r>
        <w:rPr>
          <w:sz w:val="20"/>
        </w:rPr>
        <w:t xml:space="preserve"> Порядка, максимальном размере гранта, установленном приказом министерства;</w:t>
      </w:r>
    </w:p>
    <w:p>
      <w:pPr>
        <w:pStyle w:val="0"/>
        <w:spacing w:before="200" w:line-rule="auto"/>
        <w:ind w:firstLine="540"/>
        <w:jc w:val="both"/>
      </w:pPr>
      <w:r>
        <w:rPr>
          <w:sz w:val="20"/>
        </w:rPr>
        <w:t xml:space="preserve">12) срок, в течение которого организация - победитель (организации - победители) конкурса должна (должны) подписать соглашение;</w:t>
      </w:r>
    </w:p>
    <w:p>
      <w:pPr>
        <w:pStyle w:val="0"/>
        <w:spacing w:before="200" w:line-rule="auto"/>
        <w:ind w:firstLine="540"/>
        <w:jc w:val="both"/>
      </w:pPr>
      <w:r>
        <w:rPr>
          <w:sz w:val="20"/>
        </w:rPr>
        <w:t xml:space="preserve">13) условия признания организаций - победителей конкурса уклонившимися от заключения соглашения;</w:t>
      </w:r>
    </w:p>
    <w:p>
      <w:pPr>
        <w:pStyle w:val="0"/>
        <w:spacing w:before="200" w:line-rule="auto"/>
        <w:ind w:firstLine="540"/>
        <w:jc w:val="both"/>
      </w:pPr>
      <w:r>
        <w:rPr>
          <w:sz w:val="20"/>
        </w:rPr>
        <w:t xml:space="preserve">14) сроки размещения протокола подведения итогов конкурса на едином портале и на официальном сайте министерства в сети "Интернет", которые не могут быть позднее 14-го календарного дня, следующего за днем определения победителя конкурса.</w:t>
      </w:r>
    </w:p>
    <w:p>
      <w:pPr>
        <w:pStyle w:val="0"/>
        <w:jc w:val="both"/>
      </w:pPr>
      <w:r>
        <w:rPr>
          <w:sz w:val="20"/>
        </w:rPr>
        <w:t xml:space="preserve">(пп. 14 в ред. </w:t>
      </w:r>
      <w:hyperlink w:history="0" r:id="rId38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Министерство не позднее наступления даты окончания приема заявок может внести изменения в объявление о проведении конкурса с соблюдением следующих условий:</w:t>
      </w:r>
    </w:p>
    <w:p>
      <w:pPr>
        <w:pStyle w:val="0"/>
        <w:spacing w:before="200" w:line-rule="auto"/>
        <w:ind w:firstLine="540"/>
        <w:jc w:val="both"/>
      </w:pPr>
      <w:r>
        <w:rPr>
          <w:sz w:val="20"/>
        </w:rPr>
        <w:t xml:space="preserve">срок подачи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10 календарных дней;</w:t>
      </w:r>
    </w:p>
    <w:p>
      <w:pPr>
        <w:pStyle w:val="0"/>
        <w:spacing w:before="200" w:line-rule="auto"/>
        <w:ind w:firstLine="540"/>
        <w:jc w:val="both"/>
      </w:pPr>
      <w:r>
        <w:rPr>
          <w:sz w:val="20"/>
        </w:rPr>
        <w:t xml:space="preserve">при внесении изменений в объявление о проведении конкурса не допускается изменение способа отбора;</w:t>
      </w:r>
    </w:p>
    <w:p>
      <w:pPr>
        <w:pStyle w:val="0"/>
        <w:spacing w:before="200" w:line-rule="auto"/>
        <w:ind w:firstLine="540"/>
        <w:jc w:val="both"/>
      </w:pPr>
      <w:r>
        <w:rPr>
          <w:sz w:val="20"/>
        </w:rPr>
        <w:t xml:space="preserve">в случае внесения изменений в объявление о проведении конкурса после наступления даты начала приема заявок в объявление о проведении конкурса включается положение, предусматривающее право организаций на внесение изменений в заявки;</w:t>
      </w:r>
    </w:p>
    <w:p>
      <w:pPr>
        <w:pStyle w:val="0"/>
        <w:spacing w:before="200" w:line-rule="auto"/>
        <w:ind w:firstLine="540"/>
        <w:jc w:val="both"/>
      </w:pPr>
      <w:r>
        <w:rPr>
          <w:sz w:val="20"/>
        </w:rPr>
        <w:t xml:space="preserve">организации, подавшие заявку, уведомляются о внесении изменений в объявление о проведении конкурса не позднее дня, следующего за днем внесения изменений в объявление о проведении конкурса, с использованием системы "Электронный бюджет".</w:t>
      </w:r>
    </w:p>
    <w:p>
      <w:pPr>
        <w:pStyle w:val="0"/>
        <w:jc w:val="both"/>
      </w:pPr>
      <w:r>
        <w:rPr>
          <w:sz w:val="20"/>
        </w:rPr>
        <w:t xml:space="preserve">(п. 11 в ред. </w:t>
      </w:r>
      <w:hyperlink w:history="0" r:id="rId38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271" w:name="P1271"/>
    <w:bookmarkEnd w:id="1271"/>
    <w:p>
      <w:pPr>
        <w:pStyle w:val="0"/>
        <w:spacing w:before="200" w:line-rule="auto"/>
        <w:ind w:firstLine="540"/>
        <w:jc w:val="both"/>
      </w:pPr>
      <w:r>
        <w:rPr>
          <w:sz w:val="20"/>
        </w:rPr>
        <w:t xml:space="preserve">12. Организация должна соответствовать следующим требованиям:</w:t>
      </w:r>
    </w:p>
    <w:p>
      <w:pPr>
        <w:pStyle w:val="0"/>
        <w:spacing w:before="200" w:line-rule="auto"/>
        <w:ind w:firstLine="540"/>
        <w:jc w:val="both"/>
      </w:pPr>
      <w:r>
        <w:rPr>
          <w:sz w:val="20"/>
        </w:rPr>
        <w:t xml:space="preserve">1) на дату подачи заявки:</w:t>
      </w:r>
    </w:p>
    <w:p>
      <w:pPr>
        <w:pStyle w:val="0"/>
        <w:spacing w:before="200" w:line-rule="auto"/>
        <w:ind w:firstLine="540"/>
        <w:jc w:val="both"/>
      </w:pPr>
      <w:r>
        <w:rPr>
          <w:sz w:val="20"/>
        </w:rPr>
        <w:t xml:space="preserve">а) организация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pPr>
        <w:pStyle w:val="0"/>
        <w:spacing w:before="200" w:line-rule="auto"/>
        <w:ind w:firstLine="540"/>
        <w:jc w:val="both"/>
      </w:pPr>
      <w:r>
        <w:rPr>
          <w:sz w:val="20"/>
        </w:rPr>
        <w:t xml:space="preserve">б) организация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pPr>
        <w:pStyle w:val="0"/>
        <w:spacing w:before="200" w:line-rule="auto"/>
        <w:ind w:firstLine="540"/>
        <w:jc w:val="both"/>
      </w:pPr>
      <w:r>
        <w:rPr>
          <w:sz w:val="20"/>
        </w:rPr>
        <w:t xml:space="preserve">в) организация не находится в составляемых в рамках реализации полномочий, предусмотренных </w:t>
      </w:r>
      <w:hyperlink w:history="0" r:id="rId386" w:tooltip="&quot;Раздел I. Понятие международного права, его сущность и роль в международных отношениях, политике и дипломатии. 1. Устав Организации Объединенных Наций&quot; (Принят в г. Сан-Франциско 26.06.1945) (с изм. и доп. от 20.12.1971) {КонсультантПлюс}">
        <w:r>
          <w:rPr>
            <w:sz w:val="20"/>
            <w:color w:val="0000ff"/>
          </w:rPr>
          <w:t xml:space="preserve">главой VII</w:t>
        </w:r>
      </w:hyperlink>
      <w:r>
        <w:rPr>
          <w:sz w:val="20"/>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pPr>
        <w:pStyle w:val="0"/>
        <w:spacing w:before="200" w:line-rule="auto"/>
        <w:ind w:firstLine="540"/>
        <w:jc w:val="both"/>
      </w:pPr>
      <w:r>
        <w:rPr>
          <w:sz w:val="20"/>
        </w:rPr>
        <w:t xml:space="preserve">г) организация не получает средства из областного бюджета на основании иных нормативных правовых актов Новосибирской области на цели, установленные </w:t>
      </w:r>
      <w:hyperlink w:history="0" w:anchor="P1195" w:tooltip="4. Гранты предоставляются министерством в целях финансового обеспечения затрат при выполнении мероприятий, предусмотренных государственной программой, на реализацию социально значимых проектов (далее - проекты) социально ориентированным некоммерческим организациям.">
        <w:r>
          <w:rPr>
            <w:sz w:val="20"/>
            <w:color w:val="0000ff"/>
          </w:rPr>
          <w:t xml:space="preserve">пунктом 4</w:t>
        </w:r>
      </w:hyperlink>
      <w:r>
        <w:rPr>
          <w:sz w:val="20"/>
        </w:rPr>
        <w:t xml:space="preserve"> Порядка;</w:t>
      </w:r>
    </w:p>
    <w:p>
      <w:pPr>
        <w:pStyle w:val="0"/>
        <w:spacing w:before="200" w:line-rule="auto"/>
        <w:ind w:firstLine="540"/>
        <w:jc w:val="both"/>
      </w:pPr>
      <w:r>
        <w:rPr>
          <w:sz w:val="20"/>
        </w:rPr>
        <w:t xml:space="preserve">д) организация не является иностранным агентом в соответствии с Федеральным </w:t>
      </w:r>
      <w:hyperlink w:history="0" r:id="rId387"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законом</w:t>
        </w:r>
      </w:hyperlink>
      <w:r>
        <w:rPr>
          <w:sz w:val="20"/>
        </w:rPr>
        <w:t xml:space="preserve"> от 14.07.2022 N 255-ФЗ "О контроле за деятельностью лиц, находящихся под иностранным влиянием";</w:t>
      </w:r>
    </w:p>
    <w:p>
      <w:pPr>
        <w:pStyle w:val="0"/>
        <w:spacing w:before="200" w:line-rule="auto"/>
        <w:ind w:firstLine="540"/>
        <w:jc w:val="both"/>
      </w:pPr>
      <w:r>
        <w:rPr>
          <w:sz w:val="20"/>
        </w:rPr>
        <w:t xml:space="preserve">е) у организации отсутствуют просроченная задолженность по возврату в областной бюджет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pPr>
        <w:pStyle w:val="0"/>
        <w:spacing w:before="200" w:line-rule="auto"/>
        <w:ind w:firstLine="540"/>
        <w:jc w:val="both"/>
      </w:pPr>
      <w:r>
        <w:rPr>
          <w:sz w:val="20"/>
        </w:rPr>
        <w:t xml:space="preserve">ж) организация не находится в процессе реорганизации (за исключением реорганизации в форме присоединения организации другого юридического лица), ликвидации, в отношении нее не введена процедура банкротства, деятельность организации не приостановлена в порядке, предусмотренном законодательством Российской Федерации;</w:t>
      </w:r>
    </w:p>
    <w:p>
      <w:pPr>
        <w:pStyle w:val="0"/>
        <w:spacing w:before="200" w:line-rule="auto"/>
        <w:ind w:firstLine="540"/>
        <w:jc w:val="both"/>
      </w:pPr>
      <w:r>
        <w:rPr>
          <w:sz w:val="20"/>
        </w:rPr>
        <w:t xml:space="preserve">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организации;</w:t>
      </w:r>
    </w:p>
    <w:p>
      <w:pPr>
        <w:pStyle w:val="0"/>
        <w:spacing w:before="200" w:line-rule="auto"/>
        <w:ind w:firstLine="540"/>
        <w:jc w:val="both"/>
      </w:pPr>
      <w:r>
        <w:rPr>
          <w:sz w:val="20"/>
        </w:rPr>
        <w:t xml:space="preserve">2) на дату не ранее начала срока подачи заявки у организации на едином налоговом счете отсутствует или не превышает размер, определенный </w:t>
      </w:r>
      <w:hyperlink w:history="0" r:id="rId388" w:tooltip="&quot;Налоговый кодекс Российской Федерации (часть первая)&quot; от 31.07.1998 N 146-ФЗ (ред. от 29.11.2024, с изм. от 21.01.2025) (с изм. и доп., вступ. в силу с 05.02.2025) {КонсультантПлюс}">
        <w:r>
          <w:rPr>
            <w:sz w:val="20"/>
            <w:color w:val="0000ff"/>
          </w:rPr>
          <w:t xml:space="preserve">пунктом 3 статьи 47</w:t>
        </w:r>
      </w:hyperlink>
      <w:r>
        <w:rPr>
          <w:sz w:val="20"/>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bookmarkStart w:id="1282" w:name="P1282"/>
    <w:bookmarkEnd w:id="1282"/>
    <w:p>
      <w:pPr>
        <w:pStyle w:val="0"/>
        <w:spacing w:before="200" w:line-rule="auto"/>
        <w:ind w:firstLine="540"/>
        <w:jc w:val="both"/>
      </w:pPr>
      <w:r>
        <w:rPr>
          <w:sz w:val="20"/>
        </w:rPr>
        <w:t xml:space="preserve">13. Заявка формируется организациями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w:t>
      </w:r>
    </w:p>
    <w:p>
      <w:pPr>
        <w:pStyle w:val="0"/>
        <w:spacing w:before="200" w:line-rule="auto"/>
        <w:ind w:firstLine="540"/>
        <w:jc w:val="both"/>
      </w:pPr>
      <w:r>
        <w:rPr>
          <w:sz w:val="20"/>
        </w:rPr>
        <w:t xml:space="preserve">1) согласие на обработку персональных данных физических лиц, если информация (в том числе документы), включенная в состав заявки, содержит такие данные;</w:t>
      </w:r>
    </w:p>
    <w:p>
      <w:pPr>
        <w:pStyle w:val="0"/>
        <w:spacing w:before="200" w:line-rule="auto"/>
        <w:ind w:firstLine="540"/>
        <w:jc w:val="both"/>
      </w:pPr>
      <w:r>
        <w:rPr>
          <w:sz w:val="20"/>
        </w:rPr>
        <w:t xml:space="preserve">2) справку о банковских реквизитах организации, выданную банком или иной кредитной организацией;</w:t>
      </w:r>
    </w:p>
    <w:p>
      <w:pPr>
        <w:pStyle w:val="0"/>
        <w:spacing w:before="200" w:line-rule="auto"/>
        <w:ind w:firstLine="540"/>
        <w:jc w:val="both"/>
      </w:pPr>
      <w:r>
        <w:rPr>
          <w:sz w:val="20"/>
        </w:rPr>
        <w:t xml:space="preserve">3) копию действующей редакции устава организации;</w:t>
      </w:r>
    </w:p>
    <w:p>
      <w:pPr>
        <w:pStyle w:val="0"/>
        <w:spacing w:before="200" w:line-rule="auto"/>
        <w:ind w:firstLine="540"/>
        <w:jc w:val="both"/>
      </w:pPr>
      <w:r>
        <w:rPr>
          <w:sz w:val="20"/>
        </w:rPr>
        <w:t xml:space="preserve">4) копии документов, подтверждающих полномочия лица на подачу заявки от имени организации, в случае, если заявку подает лицо, сведения о котором как о лице, имеющем право без доверенности действовать от имени организации, не содержатся в едином государственном реестре юридических лиц (далее - уполномоченное лицо), заверенные печатью (при наличии) организации и подписью руководителя организации или уполномоченного лица;</w:t>
      </w:r>
    </w:p>
    <w:p>
      <w:pPr>
        <w:pStyle w:val="0"/>
        <w:spacing w:before="200" w:line-rule="auto"/>
        <w:ind w:firstLine="540"/>
        <w:jc w:val="both"/>
      </w:pPr>
      <w:r>
        <w:rPr>
          <w:sz w:val="20"/>
        </w:rPr>
        <w:t xml:space="preserve">5) организация вправе включить в состав заявки дополнительную информацию и документы в соответствии с критериями оценки заявок, установленными </w:t>
      </w:r>
      <w:hyperlink w:history="0" w:anchor="P1346"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пунктом 22</w:t>
        </w:r>
      </w:hyperlink>
      <w:r>
        <w:rPr>
          <w:sz w:val="20"/>
        </w:rPr>
        <w:t xml:space="preserve"> Порядка.</w:t>
      </w:r>
    </w:p>
    <w:p>
      <w:pPr>
        <w:pStyle w:val="0"/>
        <w:spacing w:before="200" w:line-rule="auto"/>
        <w:ind w:firstLine="540"/>
        <w:jc w:val="both"/>
      </w:pPr>
      <w:r>
        <w:rPr>
          <w:sz w:val="20"/>
        </w:rPr>
        <w:t xml:space="preserve">Ответственность за достоверность и полноту представляемых документов и содержащихся в них сведений возлагается на организацию.</w:t>
      </w:r>
    </w:p>
    <w:p>
      <w:pPr>
        <w:pStyle w:val="0"/>
        <w:spacing w:before="200" w:line-rule="auto"/>
        <w:ind w:firstLine="540"/>
        <w:jc w:val="both"/>
      </w:pPr>
      <w:r>
        <w:rPr>
          <w:sz w:val="20"/>
        </w:rPr>
        <w:t xml:space="preserve">Заявка подписывается усиленной квалифицированной электронной подписью руководителя организации или уполномоченного им лица.</w:t>
      </w:r>
    </w:p>
    <w:p>
      <w:pPr>
        <w:pStyle w:val="0"/>
        <w:spacing w:before="200" w:line-rule="auto"/>
        <w:ind w:firstLine="540"/>
        <w:jc w:val="both"/>
      </w:pPr>
      <w:r>
        <w:rPr>
          <w:sz w:val="20"/>
        </w:rPr>
        <w:t xml:space="preserve">Датой и временем представления организацией заявки считаются дата и время подписания указанной заявки с присвоением ей регистрационного номера в системе "Электронный бюджет".</w:t>
      </w:r>
    </w:p>
    <w:p>
      <w:pPr>
        <w:pStyle w:val="0"/>
        <w:jc w:val="both"/>
      </w:pPr>
      <w:r>
        <w:rPr>
          <w:sz w:val="20"/>
        </w:rPr>
        <w:t xml:space="preserve">(п. 13 в ред. </w:t>
      </w:r>
      <w:hyperlink w:history="0" r:id="rId38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Одна организация в рамках конкурса может подать не более одной заявки.</w:t>
      </w:r>
    </w:p>
    <w:bookmarkStart w:id="1293" w:name="P1293"/>
    <w:bookmarkEnd w:id="1293"/>
    <w:p>
      <w:pPr>
        <w:pStyle w:val="0"/>
        <w:spacing w:before="200" w:line-rule="auto"/>
        <w:ind w:firstLine="540"/>
        <w:jc w:val="both"/>
      </w:pPr>
      <w:r>
        <w:rPr>
          <w:sz w:val="20"/>
        </w:rPr>
        <w:t xml:space="preserve">15. Заявка и документы, указанные в </w:t>
      </w:r>
      <w:hyperlink w:history="0" w:anchor="P1282"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пункте 13</w:t>
        </w:r>
      </w:hyperlink>
      <w:r>
        <w:rPr>
          <w:sz w:val="20"/>
        </w:rPr>
        <w:t xml:space="preserve"> Порядка, должны соответствовать следующим требованиям:</w:t>
      </w:r>
    </w:p>
    <w:p>
      <w:pPr>
        <w:pStyle w:val="0"/>
        <w:jc w:val="both"/>
      </w:pPr>
      <w:r>
        <w:rPr>
          <w:sz w:val="20"/>
        </w:rPr>
        <w:t xml:space="preserve">(в ред. </w:t>
      </w:r>
      <w:hyperlink w:history="0" r:id="rId39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быть хорошо читаемы, преобразованы в электронную форму в формате DOC и (или) PDF путем сканирования документа на бумажном носителе с передачей цвета;</w:t>
      </w:r>
    </w:p>
    <w:p>
      <w:pPr>
        <w:pStyle w:val="0"/>
        <w:spacing w:before="200" w:line-rule="auto"/>
        <w:ind w:firstLine="540"/>
        <w:jc w:val="both"/>
      </w:pPr>
      <w:r>
        <w:rPr>
          <w:sz w:val="20"/>
        </w:rPr>
        <w:t xml:space="preserve">2) файл должен содержать один полный документ (сканировать документы необходимо целиком, а не постранично);</w:t>
      </w:r>
    </w:p>
    <w:p>
      <w:pPr>
        <w:pStyle w:val="0"/>
        <w:spacing w:before="200" w:line-rule="auto"/>
        <w:ind w:firstLine="540"/>
        <w:jc w:val="both"/>
      </w:pPr>
      <w:r>
        <w:rPr>
          <w:sz w:val="20"/>
        </w:rPr>
        <w:t xml:space="preserve">3) название файла должно совпадать с заголовком документа или давать ясное понимание назначения документа.</w:t>
      </w:r>
    </w:p>
    <w:p>
      <w:pPr>
        <w:pStyle w:val="0"/>
        <w:spacing w:before="200" w:line-rule="auto"/>
        <w:ind w:firstLine="540"/>
        <w:jc w:val="both"/>
      </w:pPr>
      <w:r>
        <w:rPr>
          <w:sz w:val="20"/>
        </w:rPr>
        <w:t xml:space="preserve">Абзац утратил силу. - </w:t>
      </w:r>
      <w:hyperlink w:history="0" r:id="rId39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1299" w:name="P1299"/>
    <w:bookmarkEnd w:id="1299"/>
    <w:p>
      <w:pPr>
        <w:pStyle w:val="0"/>
        <w:spacing w:before="200" w:line-rule="auto"/>
        <w:ind w:firstLine="540"/>
        <w:jc w:val="both"/>
      </w:pPr>
      <w:r>
        <w:rPr>
          <w:sz w:val="20"/>
        </w:rPr>
        <w:t xml:space="preserve">16. Заявка может быть отозвана организацией в любое время до даты окончания проведения конкурса.</w:t>
      </w:r>
    </w:p>
    <w:p>
      <w:pPr>
        <w:pStyle w:val="0"/>
        <w:spacing w:before="200" w:line-rule="auto"/>
        <w:ind w:firstLine="540"/>
        <w:jc w:val="both"/>
      </w:pPr>
      <w:r>
        <w:rPr>
          <w:sz w:val="20"/>
        </w:rPr>
        <w:t xml:space="preserve">Внесение изменений в заявку допускается до окончания срока приема заявок через систему "Электронный бюджет".</w:t>
      </w:r>
    </w:p>
    <w:p>
      <w:pPr>
        <w:pStyle w:val="0"/>
        <w:spacing w:before="200" w:line-rule="auto"/>
        <w:ind w:firstLine="540"/>
        <w:jc w:val="both"/>
      </w:pPr>
      <w:r>
        <w:rPr>
          <w:sz w:val="20"/>
        </w:rPr>
        <w:t xml:space="preserve">Возврат заявки на доработку допускается в случае необходимости представления для включения в ее состав дополнительной информации (в том числе документов), исправления описок, опечаток, орфографических и арифметических ошибок, допущенных в документах в составе заявки. Не допускается изменение информации и документов по указанным в объявлении о проведении конкурса критериям оценки (показателям критериев оценки), по которым организации присваивается итоговое количество баллов.</w:t>
      </w:r>
    </w:p>
    <w:p>
      <w:pPr>
        <w:pStyle w:val="0"/>
        <w:spacing w:before="200" w:line-rule="auto"/>
        <w:ind w:firstLine="540"/>
        <w:jc w:val="both"/>
      </w:pPr>
      <w:r>
        <w:rPr>
          <w:sz w:val="20"/>
        </w:rPr>
        <w:t xml:space="preserve">Изменения в заявку вносятся и регистрируются в соответствии с процедурой подачи заявок. Датой представления изменений в заявку считается день подписания организацией изменений в заявку в системе "Электронный бюджет".</w:t>
      </w:r>
    </w:p>
    <w:p>
      <w:pPr>
        <w:pStyle w:val="0"/>
        <w:spacing w:before="200" w:line-rule="auto"/>
        <w:ind w:firstLine="540"/>
        <w:jc w:val="both"/>
      </w:pPr>
      <w:r>
        <w:rPr>
          <w:sz w:val="20"/>
        </w:rPr>
        <w:t xml:space="preserve">Отозванные заявки не учитываются при определении количества поданных заявок.</w:t>
      </w:r>
    </w:p>
    <w:p>
      <w:pPr>
        <w:pStyle w:val="0"/>
        <w:jc w:val="both"/>
      </w:pPr>
      <w:r>
        <w:rPr>
          <w:sz w:val="20"/>
        </w:rPr>
        <w:t xml:space="preserve">(п. 16 в ред. </w:t>
      </w:r>
      <w:hyperlink w:history="0" r:id="rId39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17. Организации со дня размещения объявления о проведении конкурса и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конкурса путем формирования в системе "Электронный бюджет" соответствующего запроса.</w:t>
      </w:r>
    </w:p>
    <w:bookmarkStart w:id="1306" w:name="P1306"/>
    <w:bookmarkEnd w:id="1306"/>
    <w:p>
      <w:pPr>
        <w:pStyle w:val="0"/>
        <w:spacing w:before="200" w:line-rule="auto"/>
        <w:ind w:firstLine="540"/>
        <w:jc w:val="both"/>
      </w:pPr>
      <w:r>
        <w:rPr>
          <w:sz w:val="20"/>
        </w:rPr>
        <w:t xml:space="preserve">Министерство в течение трех рабочих дней со дня получения запроса, но не позднее одного рабочего дня до дня завершения подачи заявок направляет ответ организации по предмету запроса путем формирования в системе "Электронный бюджет" соответствующего разъяснения.</w:t>
      </w:r>
    </w:p>
    <w:p>
      <w:pPr>
        <w:pStyle w:val="0"/>
        <w:spacing w:before="200" w:line-rule="auto"/>
        <w:ind w:firstLine="540"/>
        <w:jc w:val="both"/>
      </w:pPr>
      <w:r>
        <w:rPr>
          <w:sz w:val="20"/>
        </w:rPr>
        <w:t xml:space="preserve">Представленное министерством разъяснение положений объявления о проведении конкурса не должно изменять суть информации, содержащейся в указанном объявлении.</w:t>
      </w:r>
    </w:p>
    <w:p>
      <w:pPr>
        <w:pStyle w:val="0"/>
        <w:spacing w:before="200" w:line-rule="auto"/>
        <w:ind w:firstLine="540"/>
        <w:jc w:val="both"/>
      </w:pPr>
      <w:r>
        <w:rPr>
          <w:sz w:val="20"/>
        </w:rPr>
        <w:t xml:space="preserve">Доступ к разъяснению, формируемому в системе "Электронный бюджет" в соответствии с </w:t>
      </w:r>
      <w:hyperlink w:history="0" w:anchor="P1306" w:tooltip="Министерство в течение трех рабочих дней со дня получения запроса, но не позднее одного рабочего дня до дня завершения подачи заявок направляет ответ организации по предмету запроса путем формирования в системе &quot;Электронный бюджет&quot; соответствующего разъяснения.">
        <w:r>
          <w:rPr>
            <w:sz w:val="20"/>
            <w:color w:val="0000ff"/>
          </w:rPr>
          <w:t xml:space="preserve">абзацем вторым</w:t>
        </w:r>
      </w:hyperlink>
      <w:r>
        <w:rPr>
          <w:sz w:val="20"/>
        </w:rPr>
        <w:t xml:space="preserve"> настоящего пункта, предоставляется всем участникам конкурса.</w:t>
      </w:r>
    </w:p>
    <w:p>
      <w:pPr>
        <w:pStyle w:val="0"/>
        <w:jc w:val="both"/>
      </w:pPr>
      <w:r>
        <w:rPr>
          <w:sz w:val="20"/>
        </w:rPr>
        <w:t xml:space="preserve">(п. 17 в ред. </w:t>
      </w:r>
      <w:hyperlink w:history="0" r:id="rId39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310" w:name="P1310"/>
    <w:bookmarkEnd w:id="1310"/>
    <w:p>
      <w:pPr>
        <w:pStyle w:val="0"/>
        <w:spacing w:before="200" w:line-rule="auto"/>
        <w:ind w:firstLine="540"/>
        <w:jc w:val="both"/>
      </w:pPr>
      <w:r>
        <w:rPr>
          <w:sz w:val="20"/>
        </w:rPr>
        <w:t xml:space="preserve">18. Доступ министерства, конкурсной комиссии к заявкам организаций открывается в системе "Электронный бюджет" со дня начала срока подачи заявок.</w:t>
      </w:r>
    </w:p>
    <w:p>
      <w:pPr>
        <w:pStyle w:val="0"/>
        <w:spacing w:before="200" w:line-rule="auto"/>
        <w:ind w:firstLine="540"/>
        <w:jc w:val="both"/>
      </w:pPr>
      <w:r>
        <w:rPr>
          <w:sz w:val="20"/>
        </w:rPr>
        <w:t xml:space="preserve">Протокол вскрытия заявок формируется на едином портале автоматически и подписывается усиленной квалифицированной электронной подписью председателя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jc w:val="both"/>
      </w:pPr>
      <w:r>
        <w:rPr>
          <w:sz w:val="20"/>
        </w:rPr>
        <w:t xml:space="preserve">(п. 18 в ред. </w:t>
      </w:r>
      <w:hyperlink w:history="0" r:id="rId39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313" w:name="P1313"/>
    <w:bookmarkEnd w:id="1313"/>
    <w:p>
      <w:pPr>
        <w:pStyle w:val="0"/>
        <w:spacing w:before="200" w:line-rule="auto"/>
        <w:ind w:firstLine="540"/>
        <w:jc w:val="both"/>
      </w:pPr>
      <w:r>
        <w:rPr>
          <w:sz w:val="20"/>
        </w:rPr>
        <w:t xml:space="preserve">18.1. Проверка организации на соответствие требованиям, указанным в </w:t>
      </w:r>
      <w:hyperlink w:history="0" w:anchor="P1271" w:tooltip="12. Организация должна соответствовать следующим требованиям:">
        <w:r>
          <w:rPr>
            <w:sz w:val="20"/>
            <w:color w:val="0000ff"/>
          </w:rPr>
          <w:t xml:space="preserve">пункте 12</w:t>
        </w:r>
      </w:hyperlink>
      <w:r>
        <w:rPr>
          <w:sz w:val="20"/>
        </w:rPr>
        <w:t xml:space="preserve">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pPr>
        <w:pStyle w:val="0"/>
        <w:spacing w:before="200" w:line-rule="auto"/>
        <w:ind w:firstLine="540"/>
        <w:jc w:val="both"/>
      </w:pPr>
      <w:r>
        <w:rPr>
          <w:sz w:val="20"/>
        </w:rPr>
        <w:t xml:space="preserve">Подтверждение соответствия организации требованиям, установленным </w:t>
      </w:r>
      <w:hyperlink w:history="0" w:anchor="P1271" w:tooltip="12. Организация должна соответствовать следующим требованиям:">
        <w:r>
          <w:rPr>
            <w:sz w:val="20"/>
            <w:color w:val="0000ff"/>
          </w:rPr>
          <w:t xml:space="preserve">пунктом 12</w:t>
        </w:r>
      </w:hyperlink>
      <w:r>
        <w:rPr>
          <w:sz w:val="20"/>
        </w:rPr>
        <w:t xml:space="preserve"> Порядка, в случае отсутствия технической возможности осуществления автоматической проверки в системе "Электронный бюджет" осуществляется путем проставления организацией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pPr>
        <w:pStyle w:val="0"/>
        <w:jc w:val="both"/>
      </w:pPr>
      <w:r>
        <w:rPr>
          <w:sz w:val="20"/>
        </w:rPr>
        <w:t xml:space="preserve">(п. 18.1 введен </w:t>
      </w:r>
      <w:hyperlink w:history="0" r:id="rId39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316" w:name="P1316"/>
    <w:bookmarkEnd w:id="1316"/>
    <w:p>
      <w:pPr>
        <w:pStyle w:val="0"/>
        <w:spacing w:before="200" w:line-rule="auto"/>
        <w:ind w:firstLine="540"/>
        <w:jc w:val="both"/>
      </w:pPr>
      <w:r>
        <w:rPr>
          <w:sz w:val="20"/>
        </w:rPr>
        <w:t xml:space="preserve">19. Министерство на стадии проверки документов организации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w:t>
      </w:r>
    </w:p>
    <w:p>
      <w:pPr>
        <w:pStyle w:val="0"/>
        <w:jc w:val="both"/>
      </w:pPr>
      <w:r>
        <w:rPr>
          <w:sz w:val="20"/>
        </w:rPr>
        <w:t xml:space="preserve">(в ред. </w:t>
      </w:r>
      <w:hyperlink w:history="0" r:id="rId39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pPr>
        <w:pStyle w:val="0"/>
        <w:jc w:val="both"/>
      </w:pPr>
      <w:r>
        <w:rPr>
          <w:sz w:val="20"/>
        </w:rPr>
        <w:t xml:space="preserve">(в ред. </w:t>
      </w:r>
      <w:hyperlink w:history="0" r:id="rId39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содержащиеся в Едином государственном реестре юридических лиц;</w:t>
      </w:r>
    </w:p>
    <w:p>
      <w:pPr>
        <w:pStyle w:val="0"/>
        <w:jc w:val="both"/>
      </w:pPr>
      <w:r>
        <w:rPr>
          <w:sz w:val="20"/>
        </w:rPr>
        <w:t xml:space="preserve">(пп. 2 в ред. </w:t>
      </w:r>
      <w:hyperlink w:history="0" r:id="rId39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содержащиеся в реестре дисквалифицированных лиц о конкретном дисквалифицированном лице либо информации об отсутствии запрашиваемых сведений;</w:t>
      </w:r>
    </w:p>
    <w:p>
      <w:pPr>
        <w:pStyle w:val="0"/>
        <w:jc w:val="both"/>
      </w:pPr>
      <w:r>
        <w:rPr>
          <w:sz w:val="20"/>
        </w:rPr>
        <w:t xml:space="preserve">(в ред. </w:t>
      </w:r>
      <w:hyperlink w:history="0" r:id="rId39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4) содержащиеся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связанных с террористическими организациями и террористами или с распространением оружия массового уничтожения;</w:t>
      </w:r>
    </w:p>
    <w:p>
      <w:pPr>
        <w:pStyle w:val="0"/>
        <w:jc w:val="both"/>
      </w:pPr>
      <w:r>
        <w:rPr>
          <w:sz w:val="20"/>
        </w:rPr>
        <w:t xml:space="preserve">(в ред. </w:t>
      </w:r>
      <w:hyperlink w:history="0" r:id="rId40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содержащиеся в реестре иностранных агентов.</w:t>
      </w:r>
    </w:p>
    <w:p>
      <w:pPr>
        <w:pStyle w:val="0"/>
        <w:jc w:val="both"/>
      </w:pPr>
      <w:r>
        <w:rPr>
          <w:sz w:val="20"/>
        </w:rPr>
        <w:t xml:space="preserve">(в ред. </w:t>
      </w:r>
      <w:hyperlink w:history="0" r:id="rId40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Организация вправе представить документы, содержащие данные сведения, при подаче заявки в министерство по собственной инициативе.</w:t>
      </w:r>
    </w:p>
    <w:p>
      <w:pPr>
        <w:pStyle w:val="0"/>
        <w:jc w:val="both"/>
      </w:pPr>
      <w:r>
        <w:rPr>
          <w:sz w:val="20"/>
        </w:rPr>
        <w:t xml:space="preserve">(в ред. </w:t>
      </w:r>
      <w:hyperlink w:history="0" r:id="rId40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19.1. Запрещено требовать от организаций представления документов и информации в целях подтверждения соответствия организации требованиям, установленным </w:t>
      </w:r>
      <w:hyperlink w:history="0" w:anchor="P1271" w:tooltip="12. Организация должна соответствовать следующим требованиям:">
        <w:r>
          <w:rPr>
            <w:sz w:val="20"/>
            <w:color w:val="0000ff"/>
          </w:rPr>
          <w:t xml:space="preserve">пунктом 12</w:t>
        </w:r>
      </w:hyperlink>
      <w:r>
        <w:rPr>
          <w:sz w:val="20"/>
        </w:rPr>
        <w:t xml:space="preserve">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случая, если организация готова представить указанные документы и информацию в министерство по собственной инициативе.</w:t>
      </w:r>
    </w:p>
    <w:p>
      <w:pPr>
        <w:pStyle w:val="0"/>
        <w:jc w:val="both"/>
      </w:pPr>
      <w:r>
        <w:rPr>
          <w:sz w:val="20"/>
        </w:rPr>
        <w:t xml:space="preserve">(п. 19.1 введен </w:t>
      </w:r>
      <w:hyperlink w:history="0" r:id="rId40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19.2. Конкурсная комиссия в течение 15 рабочих дней, следующих за днем окончания приема заявок в системе "Электронный бюджет", осуществляет рассмотрение заявок и приложенные к ним документы на соответствие требованиям, установленным </w:t>
      </w:r>
      <w:hyperlink w:history="0" w:anchor="P1271" w:tooltip="12. Организация должна соответствовать следующим требованиям:">
        <w:r>
          <w:rPr>
            <w:sz w:val="20"/>
            <w:color w:val="0000ff"/>
          </w:rPr>
          <w:t xml:space="preserve">пунктами 12</w:t>
        </w:r>
      </w:hyperlink>
      <w:r>
        <w:rPr>
          <w:sz w:val="20"/>
        </w:rPr>
        <w:t xml:space="preserve"> - </w:t>
      </w:r>
      <w:hyperlink w:history="0" w:anchor="P1293"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jc w:val="both"/>
      </w:pPr>
      <w:r>
        <w:rPr>
          <w:sz w:val="20"/>
        </w:rPr>
        <w:t xml:space="preserve">(п. 19.2 введен </w:t>
      </w:r>
      <w:hyperlink w:history="0" r:id="rId40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334" w:name="P1334"/>
    <w:bookmarkEnd w:id="1334"/>
    <w:p>
      <w:pPr>
        <w:pStyle w:val="0"/>
        <w:spacing w:before="200" w:line-rule="auto"/>
        <w:ind w:firstLine="540"/>
        <w:jc w:val="both"/>
      </w:pPr>
      <w:r>
        <w:rPr>
          <w:sz w:val="20"/>
        </w:rPr>
        <w:t xml:space="preserve">20. Основаниями для отклонения заявки на стадии рассмотрения и оценки заявок являются:</w:t>
      </w:r>
    </w:p>
    <w:p>
      <w:pPr>
        <w:pStyle w:val="0"/>
        <w:spacing w:before="200" w:line-rule="auto"/>
        <w:ind w:firstLine="540"/>
        <w:jc w:val="both"/>
      </w:pPr>
      <w:r>
        <w:rPr>
          <w:sz w:val="20"/>
        </w:rPr>
        <w:t xml:space="preserve">1) несоответствие организации требованиям, установленным </w:t>
      </w:r>
      <w:hyperlink w:history="0" w:anchor="P1197" w:tooltip="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w:r>
          <w:rPr>
            <w:sz w:val="20"/>
            <w:color w:val="0000ff"/>
          </w:rPr>
          <w:t xml:space="preserve">пунктами 5</w:t>
        </w:r>
      </w:hyperlink>
      <w:r>
        <w:rPr>
          <w:sz w:val="20"/>
        </w:rPr>
        <w:t xml:space="preserve">, </w:t>
      </w:r>
      <w:hyperlink w:history="0" w:anchor="P1271" w:tooltip="12. Организация должна соответствовать следующим требованиям:">
        <w:r>
          <w:rPr>
            <w:sz w:val="20"/>
            <w:color w:val="0000ff"/>
          </w:rPr>
          <w:t xml:space="preserve">12</w:t>
        </w:r>
      </w:hyperlink>
      <w:r>
        <w:rPr>
          <w:sz w:val="20"/>
        </w:rPr>
        <w:t xml:space="preserve"> Порядка;</w:t>
      </w:r>
    </w:p>
    <w:p>
      <w:pPr>
        <w:pStyle w:val="0"/>
        <w:spacing w:before="200" w:line-rule="auto"/>
        <w:ind w:firstLine="540"/>
        <w:jc w:val="both"/>
      </w:pPr>
      <w:r>
        <w:rPr>
          <w:sz w:val="20"/>
        </w:rPr>
        <w:t xml:space="preserve">2) несоответствие представленных организацией заявки и документов требованиям, установленным </w:t>
      </w:r>
      <w:hyperlink w:history="0" w:anchor="P1282"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пунктами 13</w:t>
        </w:r>
      </w:hyperlink>
      <w:r>
        <w:rPr>
          <w:sz w:val="20"/>
        </w:rPr>
        <w:t xml:space="preserve"> - </w:t>
      </w:r>
      <w:hyperlink w:history="0" w:anchor="P1293"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3) недостоверность представленной организации информации, в том числе информации о месте нахождения и адресе юридического лица;</w:t>
      </w:r>
    </w:p>
    <w:p>
      <w:pPr>
        <w:pStyle w:val="0"/>
        <w:spacing w:before="200" w:line-rule="auto"/>
        <w:ind w:firstLine="540"/>
        <w:jc w:val="both"/>
      </w:pPr>
      <w:r>
        <w:rPr>
          <w:sz w:val="20"/>
        </w:rPr>
        <w:t xml:space="preserve">4) подача заявки после даты, определенной для подачи заявок;</w:t>
      </w:r>
    </w:p>
    <w:p>
      <w:pPr>
        <w:pStyle w:val="0"/>
        <w:spacing w:before="200" w:line-rule="auto"/>
        <w:ind w:firstLine="540"/>
        <w:jc w:val="both"/>
      </w:pPr>
      <w:r>
        <w:rPr>
          <w:sz w:val="20"/>
        </w:rPr>
        <w:t xml:space="preserve">5) несоответствие целевого назначения гранта предмету деятельности организации, указанному в ее учредительных документах;</w:t>
      </w:r>
    </w:p>
    <w:p>
      <w:pPr>
        <w:pStyle w:val="0"/>
        <w:spacing w:before="200" w:line-rule="auto"/>
        <w:ind w:firstLine="540"/>
        <w:jc w:val="both"/>
      </w:pPr>
      <w:r>
        <w:rPr>
          <w:sz w:val="20"/>
        </w:rPr>
        <w:t xml:space="preserve">6) непредставление (представление не в полном объеме) документов, предусмотренных </w:t>
      </w:r>
      <w:hyperlink w:history="0" w:anchor="P1282" w:tooltip="13. Заявка формируется организация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пунктом 13</w:t>
        </w:r>
      </w:hyperlink>
      <w:r>
        <w:rPr>
          <w:sz w:val="20"/>
        </w:rPr>
        <w:t xml:space="preserve"> Порядка.</w:t>
      </w:r>
    </w:p>
    <w:p>
      <w:pPr>
        <w:pStyle w:val="0"/>
        <w:spacing w:before="200" w:line-rule="auto"/>
        <w:ind w:firstLine="540"/>
        <w:jc w:val="both"/>
      </w:pPr>
      <w:r>
        <w:rPr>
          <w:sz w:val="20"/>
        </w:rPr>
        <w:t xml:space="preserve">Абзацы восьмой - девятый утратили силу. - </w:t>
      </w:r>
      <w:hyperlink w:history="0" r:id="rId40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21. По результатам рассмотрения конкурсной комиссией заявок в течение 15 рабочих дней, следующих за днем окончания приема заявок в системе "Электронный бюджет", подготавливается протокол рассмотрения заявок, включающий информацию о количестве поступивших и рассмотренных заявок, а также информацию по каждой организации о признании заявки надлежащей или об отклонении заявки по основаниям, указанным в </w:t>
      </w:r>
      <w:hyperlink w:history="0" w:anchor="P1334" w:tooltip="20. Основаниями для отклонения заявки на стадии рассмотрения и оценки заявок являются:">
        <w:r>
          <w:rPr>
            <w:sz w:val="20"/>
            <w:color w:val="0000ff"/>
          </w:rPr>
          <w:t xml:space="preserve">пункте 20</w:t>
        </w:r>
      </w:hyperlink>
      <w:r>
        <w:rPr>
          <w:sz w:val="20"/>
        </w:rPr>
        <w:t xml:space="preserve"> Порядка.</w:t>
      </w:r>
    </w:p>
    <w:p>
      <w:pPr>
        <w:pStyle w:val="0"/>
        <w:spacing w:before="200" w:line-rule="auto"/>
        <w:ind w:firstLine="540"/>
        <w:jc w:val="both"/>
      </w:pPr>
      <w:r>
        <w:rPr>
          <w:sz w:val="20"/>
        </w:rPr>
        <w:t xml:space="preserve">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председателя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spacing w:before="200" w:line-rule="auto"/>
        <w:ind w:firstLine="540"/>
        <w:jc w:val="both"/>
      </w:pPr>
      <w:r>
        <w:rPr>
          <w:sz w:val="20"/>
        </w:rPr>
        <w:t xml:space="preserve">Внесение изменений в протокол рассмотрения заявок осуществляется не позднее 10 календарных дней со дня подписания первой версии протокола рассмотрения заявок путем формирования новой версии указанного протокола с указанием причин внесения изменений.</w:t>
      </w:r>
    </w:p>
    <w:p>
      <w:pPr>
        <w:pStyle w:val="0"/>
        <w:jc w:val="both"/>
      </w:pPr>
      <w:r>
        <w:rPr>
          <w:sz w:val="20"/>
        </w:rPr>
        <w:t xml:space="preserve">(п. 21 в ред. </w:t>
      </w:r>
      <w:hyperlink w:history="0" r:id="rId40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346" w:name="P1346"/>
    <w:bookmarkEnd w:id="1346"/>
    <w:p>
      <w:pPr>
        <w:pStyle w:val="0"/>
        <w:spacing w:before="200" w:line-rule="auto"/>
        <w:ind w:firstLine="540"/>
        <w:jc w:val="both"/>
      </w:pPr>
      <w:r>
        <w:rPr>
          <w:sz w:val="20"/>
        </w:rPr>
        <w:t xml:space="preserve">22. Для определения победителя конкурса заявки оцениваются конкурсной комиссией, сформированной в соответствии с </w:t>
      </w:r>
      <w:hyperlink w:history="0" w:anchor="P1416" w:tooltip="23. В состав конкурсной комиссии входят председатель комиссии, заместитель председателя комиссии, секретарь комиссии и члены комиссии. В состав конкурсной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
        <w:r>
          <w:rPr>
            <w:sz w:val="20"/>
            <w:color w:val="0000ff"/>
          </w:rPr>
          <w:t xml:space="preserve">пунктом 23</w:t>
        </w:r>
      </w:hyperlink>
      <w:r>
        <w:rPr>
          <w:sz w:val="20"/>
        </w:rPr>
        <w:t xml:space="preserve"> Порядка, не позднее 25 рабочих дней со дня размещения протокола рассмотрения заявок на едином портале по следующим критериям:</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6"/>
        <w:gridCol w:w="1871"/>
        <w:gridCol w:w="1531"/>
        <w:gridCol w:w="5102"/>
      </w:tblGrid>
      <w:tr>
        <w:tc>
          <w:tcPr>
            <w:tcW w:w="566" w:type="dxa"/>
          </w:tcPr>
          <w:p>
            <w:pPr>
              <w:pStyle w:val="0"/>
              <w:jc w:val="center"/>
            </w:pPr>
            <w:r>
              <w:rPr>
                <w:sz w:val="20"/>
              </w:rPr>
              <w:t xml:space="preserve">N п/п</w:t>
            </w:r>
          </w:p>
        </w:tc>
        <w:tc>
          <w:tcPr>
            <w:tcW w:w="1871" w:type="dxa"/>
          </w:tcPr>
          <w:p>
            <w:pPr>
              <w:pStyle w:val="0"/>
              <w:jc w:val="center"/>
            </w:pPr>
            <w:r>
              <w:rPr>
                <w:sz w:val="20"/>
              </w:rPr>
              <w:t xml:space="preserve">Критерии</w:t>
            </w:r>
          </w:p>
        </w:tc>
        <w:tc>
          <w:tcPr>
            <w:tcW w:w="1531" w:type="dxa"/>
          </w:tcPr>
          <w:p>
            <w:pPr>
              <w:pStyle w:val="0"/>
              <w:jc w:val="center"/>
            </w:pPr>
            <w:r>
              <w:rPr>
                <w:sz w:val="20"/>
              </w:rPr>
              <w:t xml:space="preserve">Коэффициент значимости</w:t>
            </w:r>
          </w:p>
        </w:tc>
        <w:tc>
          <w:tcPr>
            <w:tcW w:w="5102" w:type="dxa"/>
          </w:tcPr>
          <w:p>
            <w:pPr>
              <w:pStyle w:val="0"/>
              <w:jc w:val="center"/>
            </w:pPr>
            <w:r>
              <w:rPr>
                <w:sz w:val="20"/>
              </w:rPr>
              <w:t xml:space="preserve">Оценка</w:t>
            </w:r>
          </w:p>
        </w:tc>
      </w:tr>
      <w:tr>
        <w:tc>
          <w:tcPr>
            <w:tcW w:w="566" w:type="dxa"/>
          </w:tcPr>
          <w:p>
            <w:pPr>
              <w:pStyle w:val="0"/>
              <w:jc w:val="center"/>
            </w:pPr>
            <w:r>
              <w:rPr>
                <w:sz w:val="20"/>
              </w:rPr>
              <w:t xml:space="preserve">1</w:t>
            </w:r>
          </w:p>
        </w:tc>
        <w:tc>
          <w:tcPr>
            <w:tcW w:w="1871" w:type="dxa"/>
          </w:tcPr>
          <w:p>
            <w:pPr>
              <w:pStyle w:val="0"/>
            </w:pPr>
            <w:r>
              <w:rPr>
                <w:sz w:val="20"/>
              </w:rPr>
              <w:t xml:space="preserve">Актуальность и социальная значимость проекта</w:t>
            </w:r>
          </w:p>
        </w:tc>
        <w:tc>
          <w:tcPr>
            <w:tcW w:w="1531" w:type="dxa"/>
          </w:tcPr>
          <w:p>
            <w:pPr>
              <w:pStyle w:val="0"/>
              <w:jc w:val="center"/>
            </w:pPr>
            <w:r>
              <w:rPr>
                <w:sz w:val="20"/>
              </w:rPr>
              <w:t xml:space="preserve">0,2</w:t>
            </w:r>
          </w:p>
        </w:tc>
        <w:tc>
          <w:tcPr>
            <w:tcW w:w="5102" w:type="dxa"/>
          </w:tcPr>
          <w:p>
            <w:pPr>
              <w:pStyle w:val="0"/>
              <w:jc w:val="both"/>
            </w:pPr>
            <w:r>
              <w:rPr>
                <w:sz w:val="20"/>
              </w:rPr>
              <w:t xml:space="preserve">информация об актуальности и социальной значимости проекта в заявке отсутствует - 0 баллов;</w:t>
            </w:r>
          </w:p>
          <w:p>
            <w:pPr>
              <w:pStyle w:val="0"/>
              <w:jc w:val="both"/>
            </w:pPr>
            <w:r>
              <w:rPr>
                <w:sz w:val="20"/>
              </w:rPr>
              <w:t xml:space="preserve">актуальность и социальная значимость проекта описана общими фразами без приведения конкретных количественных и качественных показателей проблемы, на решение которой направлен проект, - 25 баллов;</w:t>
            </w:r>
          </w:p>
          <w:p>
            <w:pPr>
              <w:pStyle w:val="0"/>
              <w:jc w:val="both"/>
            </w:pPr>
            <w:r>
              <w:rPr>
                <w:sz w:val="20"/>
              </w:rPr>
              <w:t xml:space="preserve">актуальность и социальная значимость проекта для целевой группы проекта представлены с приведением конкретных количественных и качественных показателей, но не обозначена их значимость для конкретной территории - 50 баллов;</w:t>
            </w:r>
          </w:p>
          <w:p>
            <w:pPr>
              <w:pStyle w:val="0"/>
              <w:jc w:val="both"/>
            </w:pPr>
            <w:r>
              <w:rPr>
                <w:sz w:val="20"/>
              </w:rPr>
              <w:t xml:space="preserve">описание проблемы для целевой группы и проекта подкреплено количественными и качественными показателями, цели и задачи проекта соответствуют решению проблем, но значимость проблемы преувеличена для конкретной территории - 80 баллов;</w:t>
            </w:r>
          </w:p>
          <w:p>
            <w:pPr>
              <w:pStyle w:val="0"/>
              <w:jc w:val="both"/>
            </w:pPr>
            <w:r>
              <w:rPr>
                <w:sz w:val="20"/>
              </w:rPr>
              <w:t xml:space="preserve">актуальность, востребованность и социальная значимость проекта для целевой группы и территории реализации проекта убедительно доказаны, четко и аргументированно изложены проблемы целевой группы, которые подкреплены конкретными количественными и качественными показателями, статистикой, в проекте указан конкретный результат, который может быть достигнут за указанные в проекте сроки, - 100 баллов</w:t>
            </w:r>
          </w:p>
        </w:tc>
      </w:tr>
      <w:tr>
        <w:tc>
          <w:tcPr>
            <w:tcW w:w="566" w:type="dxa"/>
          </w:tcPr>
          <w:p>
            <w:pPr>
              <w:pStyle w:val="0"/>
              <w:jc w:val="center"/>
            </w:pPr>
            <w:r>
              <w:rPr>
                <w:sz w:val="20"/>
              </w:rPr>
              <w:t xml:space="preserve">2</w:t>
            </w:r>
          </w:p>
        </w:tc>
        <w:tc>
          <w:tcPr>
            <w:tcW w:w="1871" w:type="dxa"/>
          </w:tcPr>
          <w:p>
            <w:pPr>
              <w:pStyle w:val="0"/>
            </w:pPr>
            <w:r>
              <w:rPr>
                <w:sz w:val="20"/>
              </w:rPr>
              <w:t xml:space="preserve">Соответствие мероприятий проекта его целям, задачам и ожидаемым результатам</w:t>
            </w:r>
          </w:p>
        </w:tc>
        <w:tc>
          <w:tcPr>
            <w:tcW w:w="1531" w:type="dxa"/>
          </w:tcPr>
          <w:p>
            <w:pPr>
              <w:pStyle w:val="0"/>
              <w:jc w:val="center"/>
            </w:pPr>
            <w:r>
              <w:rPr>
                <w:sz w:val="20"/>
              </w:rPr>
              <w:t xml:space="preserve">0,2</w:t>
            </w:r>
          </w:p>
        </w:tc>
        <w:tc>
          <w:tcPr>
            <w:tcW w:w="5102" w:type="dxa"/>
          </w:tcPr>
          <w:p>
            <w:pPr>
              <w:pStyle w:val="0"/>
              <w:jc w:val="both"/>
            </w:pPr>
            <w:r>
              <w:rPr>
                <w:sz w:val="20"/>
              </w:rPr>
              <w:t xml:space="preserve">проект проработан на низком уровне, имеются несоответствия запланированных мероприятий целям, задачам и ожидаемым результатам проекта - 0 баллов;</w:t>
            </w:r>
          </w:p>
          <w:p>
            <w:pPr>
              <w:pStyle w:val="0"/>
              <w:jc w:val="both"/>
            </w:pPr>
            <w:r>
              <w:rPr>
                <w:sz w:val="20"/>
              </w:rPr>
              <w:t xml:space="preserve">мероприятия проекта соответствуют целям, задачам и ожидаемым результатам, но план мероприятий не детализирован - 25 баллов;</w:t>
            </w:r>
          </w:p>
          <w:p>
            <w:pPr>
              <w:pStyle w:val="0"/>
              <w:jc w:val="both"/>
            </w:pPr>
            <w:r>
              <w:rPr>
                <w:sz w:val="20"/>
              </w:rPr>
              <w:t xml:space="preserve">имеются устранимые нарушения логической связи между задачами, мероприятиями и ожидаемыми результатами - 50 баллов;</w:t>
            </w:r>
          </w:p>
          <w:p>
            <w:pPr>
              <w:pStyle w:val="0"/>
              <w:jc w:val="both"/>
            </w:pPr>
            <w:r>
              <w:rPr>
                <w:sz w:val="20"/>
              </w:rPr>
              <w:t xml:space="preserve">запланированные проектом мероприятия обеспечивают достижение цели проекта, решение поставленных задач и достижение ожидаемых результатов проекта, вместе с тем сроки выполнения отдельных мероприятий проекта требуют корректировки - 80 баллов;</w:t>
            </w:r>
          </w:p>
          <w:p>
            <w:pPr>
              <w:pStyle w:val="0"/>
              <w:jc w:val="both"/>
            </w:pPr>
            <w:r>
              <w:rPr>
                <w:sz w:val="20"/>
              </w:rPr>
              <w:t xml:space="preserve">запланированные проектом мероприятия обеспечивают достижение цели проекта, решение поставленных задач и достижение ожидаемых результатов проекта, указаны разумные сроки, позволяющие в полной мере решить задачи проекта, - 100 баллов</w:t>
            </w:r>
          </w:p>
        </w:tc>
      </w:tr>
      <w:tr>
        <w:tc>
          <w:tcPr>
            <w:tcW w:w="566" w:type="dxa"/>
          </w:tcPr>
          <w:p>
            <w:pPr>
              <w:pStyle w:val="0"/>
              <w:jc w:val="center"/>
            </w:pPr>
            <w:r>
              <w:rPr>
                <w:sz w:val="20"/>
              </w:rPr>
              <w:t xml:space="preserve">3</w:t>
            </w:r>
          </w:p>
        </w:tc>
        <w:tc>
          <w:tcPr>
            <w:tcW w:w="1871" w:type="dxa"/>
          </w:tcPr>
          <w:p>
            <w:pPr>
              <w:pStyle w:val="0"/>
            </w:pPr>
            <w:r>
              <w:rPr>
                <w:sz w:val="20"/>
              </w:rPr>
              <w:t xml:space="preserve">Соотношение и обоснованность планируемых расходов на реализацию проекта</w:t>
            </w:r>
          </w:p>
        </w:tc>
        <w:tc>
          <w:tcPr>
            <w:tcW w:w="1531" w:type="dxa"/>
          </w:tcPr>
          <w:p>
            <w:pPr>
              <w:pStyle w:val="0"/>
              <w:jc w:val="center"/>
            </w:pPr>
            <w:r>
              <w:rPr>
                <w:sz w:val="20"/>
              </w:rPr>
              <w:t xml:space="preserve">0,2</w:t>
            </w:r>
          </w:p>
        </w:tc>
        <w:tc>
          <w:tcPr>
            <w:tcW w:w="5102" w:type="dxa"/>
          </w:tcPr>
          <w:p>
            <w:pPr>
              <w:pStyle w:val="0"/>
              <w:jc w:val="both"/>
            </w:pPr>
            <w:r>
              <w:rPr>
                <w:sz w:val="20"/>
              </w:rPr>
              <w:t xml:space="preserve">затраты, указанные в смете проекта, завышены и не соответствуют мероприятиям и ожидаемым результатам проекта - 0 баллов;</w:t>
            </w:r>
          </w:p>
          <w:p>
            <w:pPr>
              <w:pStyle w:val="0"/>
              <w:jc w:val="both"/>
            </w:pPr>
            <w:r>
              <w:rPr>
                <w:sz w:val="20"/>
              </w:rPr>
              <w:t xml:space="preserve">затраты, указанные в смете проекта, частично соответствуют календарному плану, но ожидаемые результаты не соразмерны общей сумме расходов - 25 баллов;</w:t>
            </w:r>
          </w:p>
          <w:p>
            <w:pPr>
              <w:pStyle w:val="0"/>
              <w:jc w:val="both"/>
            </w:pPr>
            <w:r>
              <w:rPr>
                <w:sz w:val="20"/>
              </w:rPr>
              <w:t xml:space="preserve">затраты, указанные в смете проекта, соответствуют календарному плану мероприятий, но запланированные результаты могут быть достигнуты при меньших затратах - 50 баллов;</w:t>
            </w:r>
          </w:p>
          <w:p>
            <w:pPr>
              <w:pStyle w:val="0"/>
              <w:jc w:val="both"/>
            </w:pPr>
            <w:r>
              <w:rPr>
                <w:sz w:val="20"/>
              </w:rPr>
              <w:t xml:space="preserve">достижение результатов обосновано запланированными расходами, вместе с тем из комментариев к некоторым расходам невозможно точно определить их состав - 80 баллов;</w:t>
            </w:r>
          </w:p>
          <w:p>
            <w:pPr>
              <w:pStyle w:val="0"/>
              <w:jc w:val="both"/>
            </w:pPr>
            <w:r>
              <w:rPr>
                <w:sz w:val="20"/>
              </w:rPr>
              <w:t xml:space="preserve">затраты, указанные в смете проекта, полностью соответствуют календарному плану, ожидаемым результатам, даны корректные комментарии по всем предполагаемым расходам - 100 баллов</w:t>
            </w:r>
          </w:p>
        </w:tc>
      </w:tr>
      <w:tr>
        <w:tc>
          <w:tcPr>
            <w:tcW w:w="566" w:type="dxa"/>
          </w:tcPr>
          <w:p>
            <w:pPr>
              <w:pStyle w:val="0"/>
              <w:jc w:val="center"/>
            </w:pPr>
            <w:r>
              <w:rPr>
                <w:sz w:val="20"/>
              </w:rPr>
              <w:t xml:space="preserve">4</w:t>
            </w:r>
          </w:p>
        </w:tc>
        <w:tc>
          <w:tcPr>
            <w:tcW w:w="1871" w:type="dxa"/>
          </w:tcPr>
          <w:p>
            <w:pPr>
              <w:pStyle w:val="0"/>
            </w:pPr>
            <w:r>
              <w:rPr>
                <w:sz w:val="20"/>
              </w:rPr>
              <w:t xml:space="preserve">Соответствие опыта и компетенций проектной команды планируемой деятельности, наличие квалифицированного кадрового потенциала</w:t>
            </w:r>
          </w:p>
        </w:tc>
        <w:tc>
          <w:tcPr>
            <w:tcW w:w="1531" w:type="dxa"/>
          </w:tcPr>
          <w:p>
            <w:pPr>
              <w:pStyle w:val="0"/>
              <w:jc w:val="center"/>
            </w:pPr>
            <w:r>
              <w:rPr>
                <w:sz w:val="20"/>
              </w:rPr>
              <w:t xml:space="preserve">0,1</w:t>
            </w:r>
          </w:p>
        </w:tc>
        <w:tc>
          <w:tcPr>
            <w:tcW w:w="5102" w:type="dxa"/>
          </w:tcPr>
          <w:p>
            <w:pPr>
              <w:pStyle w:val="0"/>
              <w:jc w:val="both"/>
            </w:pPr>
            <w:r>
              <w:rPr>
                <w:sz w:val="20"/>
              </w:rPr>
              <w:t xml:space="preserve">описание команды проекта, ее квалификации, опыта работы проектной команды в заявке отсутствует - 0 баллов;</w:t>
            </w:r>
          </w:p>
          <w:p>
            <w:pPr>
              <w:pStyle w:val="0"/>
              <w:jc w:val="both"/>
            </w:pPr>
            <w:r>
              <w:rPr>
                <w:sz w:val="20"/>
              </w:rPr>
              <w:t xml:space="preserve">работники, заявленные в проекте, имеют недостаточные опыт и квалификацию для реализации проекта - 25 баллов;</w:t>
            </w:r>
          </w:p>
          <w:p>
            <w:pPr>
              <w:pStyle w:val="0"/>
              <w:jc w:val="both"/>
            </w:pPr>
            <w:r>
              <w:rPr>
                <w:sz w:val="20"/>
              </w:rPr>
              <w:t xml:space="preserve">наличие у соискателя гранта работников, имеющих опыт и квалификацию, необходимые для выполнения мероприятий проекта, отсутствие опыта организации по выбранному направлению проекта - 60 баллов;</w:t>
            </w:r>
          </w:p>
          <w:p>
            <w:pPr>
              <w:pStyle w:val="0"/>
              <w:jc w:val="both"/>
            </w:pPr>
            <w:r>
              <w:rPr>
                <w:sz w:val="20"/>
              </w:rPr>
              <w:t xml:space="preserve">наличие у соискателя гранта работников, имеющих опыт и необходимую квалификацию, организация имеет опыт устойчивой деятельности по выбранному направлению проекта - 100 баллов</w:t>
            </w:r>
          </w:p>
        </w:tc>
      </w:tr>
      <w:tr>
        <w:tc>
          <w:tcPr>
            <w:tcW w:w="566" w:type="dxa"/>
          </w:tcPr>
          <w:p>
            <w:pPr>
              <w:pStyle w:val="0"/>
              <w:jc w:val="center"/>
            </w:pPr>
            <w:r>
              <w:rPr>
                <w:sz w:val="20"/>
              </w:rPr>
              <w:t xml:space="preserve">5</w:t>
            </w:r>
          </w:p>
        </w:tc>
        <w:tc>
          <w:tcPr>
            <w:tcW w:w="1871" w:type="dxa"/>
          </w:tcPr>
          <w:p>
            <w:pPr>
              <w:pStyle w:val="0"/>
            </w:pPr>
            <w:r>
              <w:rPr>
                <w:sz w:val="20"/>
              </w:rPr>
              <w:t xml:space="preserve">Масштаб реализации проекта</w:t>
            </w:r>
          </w:p>
        </w:tc>
        <w:tc>
          <w:tcPr>
            <w:tcW w:w="1531" w:type="dxa"/>
          </w:tcPr>
          <w:p>
            <w:pPr>
              <w:pStyle w:val="0"/>
              <w:jc w:val="center"/>
            </w:pPr>
            <w:r>
              <w:rPr>
                <w:sz w:val="20"/>
              </w:rPr>
              <w:t xml:space="preserve">0,1</w:t>
            </w:r>
          </w:p>
        </w:tc>
        <w:tc>
          <w:tcPr>
            <w:tcW w:w="5102" w:type="dxa"/>
          </w:tcPr>
          <w:p>
            <w:pPr>
              <w:pStyle w:val="0"/>
              <w:jc w:val="both"/>
            </w:pPr>
            <w:r>
              <w:rPr>
                <w:sz w:val="20"/>
              </w:rPr>
              <w:t xml:space="preserve">в содержании заявки отсутствует информация о заявленной территории реализации проекта, не подтверждается вовлечение в реализацию проекта партнеров - 0 баллов;</w:t>
            </w:r>
          </w:p>
          <w:p>
            <w:pPr>
              <w:pStyle w:val="0"/>
              <w:jc w:val="both"/>
            </w:pPr>
            <w:r>
              <w:rPr>
                <w:sz w:val="20"/>
              </w:rPr>
              <w:t xml:space="preserve">в содержании заявки не подтверждено взаимодействие с территориями, обозначенными в заявке, в реализацию проекта вовлечены только сотрудники организации - 25 баллов;</w:t>
            </w:r>
          </w:p>
          <w:p>
            <w:pPr>
              <w:pStyle w:val="0"/>
              <w:jc w:val="both"/>
            </w:pPr>
            <w:r>
              <w:rPr>
                <w:sz w:val="20"/>
              </w:rPr>
              <w:t xml:space="preserve">возможность реализации проекта на заявленной территории не обеспечена в полном объеме бюджетом проекта, информация об иных источниках в заявке отсутствует - 50 баллов;</w:t>
            </w:r>
          </w:p>
          <w:p>
            <w:pPr>
              <w:pStyle w:val="0"/>
              <w:jc w:val="both"/>
            </w:pPr>
            <w:r>
              <w:rPr>
                <w:sz w:val="20"/>
              </w:rPr>
              <w:t xml:space="preserve">в проекте предусмотрена деятельность в пределах территории его реализации за счет привлечения партнеров, но наличие устойчивых связей с партнерами в заявке не подтверждено - 80 баллов;</w:t>
            </w:r>
          </w:p>
          <w:p>
            <w:pPr>
              <w:pStyle w:val="0"/>
              <w:jc w:val="both"/>
            </w:pPr>
            <w:r>
              <w:rPr>
                <w:sz w:val="20"/>
              </w:rPr>
              <w:t xml:space="preserve">заявленный территориальный охват проекта оправдан, использует реальные возможности организации и адекватен проблемам, на решение которых направлен проект, в реализацию проекта вовлечены сотрудники, добровольцы (волонтеры), партнеры организации, запланированное участие которых в проекте подтверждено, - 100 баллов</w:t>
            </w:r>
          </w:p>
        </w:tc>
      </w:tr>
      <w:tr>
        <w:tc>
          <w:tcPr>
            <w:tcW w:w="566" w:type="dxa"/>
          </w:tcPr>
          <w:p>
            <w:pPr>
              <w:pStyle w:val="0"/>
              <w:jc w:val="center"/>
            </w:pPr>
            <w:r>
              <w:rPr>
                <w:sz w:val="20"/>
              </w:rPr>
              <w:t xml:space="preserve">6</w:t>
            </w:r>
          </w:p>
        </w:tc>
        <w:tc>
          <w:tcPr>
            <w:tcW w:w="1871" w:type="dxa"/>
          </w:tcPr>
          <w:p>
            <w:pPr>
              <w:pStyle w:val="0"/>
            </w:pPr>
            <w:r>
              <w:rPr>
                <w:sz w:val="20"/>
              </w:rPr>
              <w:t xml:space="preserve">Вклад организации в реализацию проекта (собственные и (или) привлеченные материальные ресурсы)</w:t>
            </w:r>
          </w:p>
        </w:tc>
        <w:tc>
          <w:tcPr>
            <w:tcW w:w="1531" w:type="dxa"/>
          </w:tcPr>
          <w:p>
            <w:pPr>
              <w:pStyle w:val="0"/>
              <w:jc w:val="center"/>
            </w:pPr>
            <w:r>
              <w:rPr>
                <w:sz w:val="20"/>
              </w:rPr>
              <w:t xml:space="preserve">0,05</w:t>
            </w:r>
          </w:p>
        </w:tc>
        <w:tc>
          <w:tcPr>
            <w:tcW w:w="5102" w:type="dxa"/>
          </w:tcPr>
          <w:p>
            <w:pPr>
              <w:pStyle w:val="0"/>
              <w:jc w:val="both"/>
            </w:pPr>
            <w:r>
              <w:rPr>
                <w:sz w:val="20"/>
              </w:rPr>
              <w:t xml:space="preserve">организация не располагает собственными и (или) привлеченными материальными ресурсами для реализации проекта, либо не подтверждает их наличие, либо представляет сведения и документы о материальных ресурсах, не обосновывая их отнесение к реализации проекта, или не относящихся к реализации проекта - 0 баллов;</w:t>
            </w:r>
          </w:p>
          <w:p>
            <w:pPr>
              <w:pStyle w:val="0"/>
              <w:jc w:val="both"/>
            </w:pPr>
            <w:r>
              <w:rPr>
                <w:sz w:val="20"/>
              </w:rPr>
              <w:t xml:space="preserve">организация располагает собственными и (или) привлеченными материальными ресурсами, относящимися к реализации проекта, и подтверждает их наличие - 100 баллов</w:t>
            </w:r>
          </w:p>
        </w:tc>
      </w:tr>
      <w:tr>
        <w:tc>
          <w:tcPr>
            <w:tcW w:w="566" w:type="dxa"/>
          </w:tcPr>
          <w:p>
            <w:pPr>
              <w:pStyle w:val="0"/>
              <w:jc w:val="center"/>
            </w:pPr>
            <w:r>
              <w:rPr>
                <w:sz w:val="20"/>
              </w:rPr>
              <w:t xml:space="preserve">7</w:t>
            </w:r>
          </w:p>
        </w:tc>
        <w:tc>
          <w:tcPr>
            <w:tcW w:w="1871" w:type="dxa"/>
          </w:tcPr>
          <w:p>
            <w:pPr>
              <w:pStyle w:val="0"/>
            </w:pPr>
            <w:r>
              <w:rPr>
                <w:sz w:val="20"/>
              </w:rPr>
              <w:t xml:space="preserve">Информационная открытость организации</w:t>
            </w:r>
          </w:p>
        </w:tc>
        <w:tc>
          <w:tcPr>
            <w:tcW w:w="1531" w:type="dxa"/>
          </w:tcPr>
          <w:p>
            <w:pPr>
              <w:pStyle w:val="0"/>
              <w:jc w:val="center"/>
            </w:pPr>
            <w:r>
              <w:rPr>
                <w:sz w:val="20"/>
              </w:rPr>
              <w:t xml:space="preserve">0,1</w:t>
            </w:r>
          </w:p>
        </w:tc>
        <w:tc>
          <w:tcPr>
            <w:tcW w:w="5102" w:type="dxa"/>
          </w:tcPr>
          <w:p>
            <w:pPr>
              <w:pStyle w:val="0"/>
              <w:jc w:val="both"/>
            </w:pPr>
            <w:r>
              <w:rPr>
                <w:sz w:val="20"/>
              </w:rPr>
              <w:t xml:space="preserve">информация о деятельности организации отсутствует в сети "Интернет" и средствах массовой информации, у организации отсутствует собственный сайт, не ведется страница в социальных сетях, в проекте не представлены сведения о формах и методах коммуникации с целевой аудиторией - 0 баллов;</w:t>
            </w:r>
          </w:p>
          <w:p>
            <w:pPr>
              <w:pStyle w:val="0"/>
              <w:jc w:val="both"/>
            </w:pPr>
            <w:r>
              <w:rPr>
                <w:sz w:val="20"/>
              </w:rPr>
              <w:t xml:space="preserve">у организации имеется сайт, на котором представлены только основные сведения об организации, информация о деятельности и страницы в социальных сетях отсутствуют - 25 баллов;</w:t>
            </w:r>
          </w:p>
          <w:p>
            <w:pPr>
              <w:pStyle w:val="0"/>
              <w:jc w:val="both"/>
            </w:pPr>
            <w:r>
              <w:rPr>
                <w:sz w:val="20"/>
              </w:rPr>
              <w:t xml:space="preserve">у организации имеются сайт и страницы (группы) в социальных сетях, которые содержат неактуальную или устаревшую информацию о команде организации и реализованных проектах, - 50 баллов;</w:t>
            </w:r>
          </w:p>
          <w:p>
            <w:pPr>
              <w:pStyle w:val="0"/>
              <w:jc w:val="both"/>
            </w:pPr>
            <w:r>
              <w:rPr>
                <w:sz w:val="20"/>
              </w:rPr>
              <w:t xml:space="preserve">организация имеет действующий сайт, страницы (группы) в социальных сетях с актуальной информацией, но отсутствуют сведения о составе органов управления, реализованных ранее проектах и мероприятиях - 80 баллов;</w:t>
            </w:r>
          </w:p>
          <w:p>
            <w:pPr>
              <w:pStyle w:val="0"/>
              <w:jc w:val="both"/>
            </w:pPr>
            <w:r>
              <w:rPr>
                <w:sz w:val="20"/>
              </w:rPr>
              <w:t xml:space="preserve">организация имеет действующий, постоянно обновляемый сайт, страницы (группы) в социальных сетях, на которых регулярно обновляется информация, на информационных ресурсах представлена подробная информация об организации, работниках, доступны документы и отчеты, информацию о деятельности легко найти в Интернете с помощью поисковых запросов - 100 баллов</w:t>
            </w:r>
          </w:p>
        </w:tc>
      </w:tr>
      <w:tr>
        <w:tc>
          <w:tcPr>
            <w:tcW w:w="566" w:type="dxa"/>
          </w:tcPr>
          <w:p>
            <w:pPr>
              <w:pStyle w:val="0"/>
              <w:jc w:val="center"/>
            </w:pPr>
            <w:r>
              <w:rPr>
                <w:sz w:val="20"/>
              </w:rPr>
              <w:t xml:space="preserve">8</w:t>
            </w:r>
          </w:p>
        </w:tc>
        <w:tc>
          <w:tcPr>
            <w:tcW w:w="1871" w:type="dxa"/>
          </w:tcPr>
          <w:p>
            <w:pPr>
              <w:pStyle w:val="0"/>
            </w:pPr>
            <w:r>
              <w:rPr>
                <w:sz w:val="20"/>
              </w:rPr>
              <w:t xml:space="preserve">Соответствие проекта целям и задачам государственной политики по сохранению и укреплению традиционных российских духовно-нравственных ценностей</w:t>
            </w:r>
          </w:p>
        </w:tc>
        <w:tc>
          <w:tcPr>
            <w:tcW w:w="1531" w:type="dxa"/>
          </w:tcPr>
          <w:p>
            <w:pPr>
              <w:pStyle w:val="0"/>
              <w:jc w:val="center"/>
            </w:pPr>
            <w:r>
              <w:rPr>
                <w:sz w:val="20"/>
              </w:rPr>
              <w:t xml:space="preserve">0,05</w:t>
            </w:r>
          </w:p>
        </w:tc>
        <w:tc>
          <w:tcPr>
            <w:tcW w:w="5102" w:type="dxa"/>
          </w:tcPr>
          <w:p>
            <w:pPr>
              <w:pStyle w:val="0"/>
              <w:jc w:val="both"/>
            </w:pPr>
            <w:r>
              <w:rPr>
                <w:sz w:val="20"/>
              </w:rPr>
              <w:t xml:space="preserve">мероприятия проекта не соответствуют целям и задачам государственной политики по сохранению и укреплению традиционных российских духовно-нравственных ценностей, установленным </w:t>
            </w:r>
            <w:hyperlink w:history="0" r:id="rId407" w:tooltip="Указ Президента РФ от 09.11.2022 N 809 &quot;Об утверждении Основ государственной политики по сохранению и укреплению традиционных российских духовно-нравственных ценностей&quot; {КонсультантПлюс}">
              <w:r>
                <w:rPr>
                  <w:sz w:val="20"/>
                  <w:color w:val="0000ff"/>
                </w:rPr>
                <w:t xml:space="preserve">разделом III</w:t>
              </w:r>
            </w:hyperlink>
            <w:r>
              <w:rPr>
                <w:sz w:val="20"/>
              </w:rPr>
              <w:t xml:space="preserve"> Основ государственной политики по сохранению и укреплению традиционных российских духовно-нравственных ценностей, утвержденных Указом Президента Российской Федерации от 09.11.2022 N 809, - 0 баллов;</w:t>
            </w:r>
          </w:p>
          <w:p>
            <w:pPr>
              <w:pStyle w:val="0"/>
              <w:jc w:val="both"/>
            </w:pPr>
            <w:r>
              <w:rPr>
                <w:sz w:val="20"/>
              </w:rPr>
              <w:t xml:space="preserve">мероприятия проекта соответствуют целям и задачам государственной политики по сохранению и укреплению традиционных российских духовно-нравственных ценностей, установленным разделом III Основ государственной политики по сохранению и укреплению традиционных российских духовно-нравственных ценностей, утвержденных Указом Президента Российской Федерации от 09.11.2022 N 809, - 100 баллов</w:t>
            </w:r>
          </w:p>
        </w:tc>
      </w:tr>
    </w:tbl>
    <w:p>
      <w:pPr>
        <w:pStyle w:val="0"/>
        <w:ind w:firstLine="540"/>
        <w:jc w:val="both"/>
      </w:pPr>
      <w:r>
        <w:rPr>
          <w:sz w:val="20"/>
        </w:rPr>
      </w:r>
    </w:p>
    <w:p>
      <w:pPr>
        <w:pStyle w:val="0"/>
        <w:ind w:firstLine="540"/>
        <w:jc w:val="both"/>
      </w:pPr>
      <w:r>
        <w:rPr>
          <w:sz w:val="20"/>
        </w:rPr>
        <w:t xml:space="preserve">По результатам оценки заявок членами конкурсной комиссии, участвующими в рассмотрении заявки, в системе "Электронный бюджет" рассчитывается балл заявки.</w:t>
      </w:r>
    </w:p>
    <w:p>
      <w:pPr>
        <w:pStyle w:val="0"/>
        <w:spacing w:before="200" w:line-rule="auto"/>
        <w:ind w:firstLine="540"/>
        <w:jc w:val="both"/>
      </w:pPr>
      <w:r>
        <w:rPr>
          <w:sz w:val="20"/>
        </w:rPr>
        <w:t xml:space="preserve">Балл заявки определяется как среднее арифметическое количество баллов, полученных по результатам оценки заявки от каждого члена конкурсной комиссии, участвующего в рассмотрении заявки, по каждому критерию, умноженное на коэффициент значимости по каждому критерию.</w:t>
      </w:r>
    </w:p>
    <w:p>
      <w:pPr>
        <w:pStyle w:val="0"/>
        <w:spacing w:before="200" w:line-rule="auto"/>
        <w:ind w:firstLine="540"/>
        <w:jc w:val="both"/>
      </w:pPr>
      <w:r>
        <w:rPr>
          <w:sz w:val="20"/>
        </w:rPr>
        <w:t xml:space="preserve">При этом среднее арифметическое количество баллов определяется путем суммирования баллов, присвоенных каждым членом конкурсной комиссии, участвующим в оценке заявки, и последующего деления на количество членов конкурсной комиссии, участвующих в оценке заявки.</w:t>
      </w:r>
    </w:p>
    <w:p>
      <w:pPr>
        <w:pStyle w:val="0"/>
        <w:spacing w:before="200" w:line-rule="auto"/>
        <w:ind w:firstLine="540"/>
        <w:jc w:val="both"/>
      </w:pPr>
      <w:r>
        <w:rPr>
          <w:sz w:val="20"/>
        </w:rPr>
        <w:t xml:space="preserve">Каждая заявка оценивается не менее чем двумя членами конкурсной комиссии.</w:t>
      </w:r>
    </w:p>
    <w:p>
      <w:pPr>
        <w:pStyle w:val="0"/>
        <w:spacing w:before="200" w:line-rule="auto"/>
        <w:ind w:firstLine="540"/>
        <w:jc w:val="both"/>
      </w:pPr>
      <w:r>
        <w:rPr>
          <w:sz w:val="20"/>
        </w:rPr>
        <w:t xml:space="preserve">Победителями конкурса признаются организации, включенные в рейтинг, сформированный по результатам ранжирования заявок по мере уменьшения полученных баллов по итогам оценки заявок и очередности поступления заявок в случае равенства количества полученных баллов исходя из размера грантов, определяемого в соответствии с </w:t>
      </w:r>
      <w:hyperlink w:history="0" w:anchor="P1445" w:tooltip="27. Размер гранта определяется в соответствии с запрашиваемым размером гранта, указанным в заявке, но не более предельного размера гранта, установленного в объявлении о проведении конкурса.">
        <w:r>
          <w:rPr>
            <w:sz w:val="20"/>
            <w:color w:val="0000ff"/>
          </w:rPr>
          <w:t xml:space="preserve">пунктом 27</w:t>
        </w:r>
      </w:hyperlink>
      <w:r>
        <w:rPr>
          <w:sz w:val="20"/>
        </w:rPr>
        <w:t xml:space="preserve"> Порядка и в пределах объема распределяемого гранта, указанного в объявлении о проведении конкурса.</w:t>
      </w:r>
    </w:p>
    <w:p>
      <w:pPr>
        <w:pStyle w:val="0"/>
        <w:jc w:val="both"/>
      </w:pPr>
      <w:r>
        <w:rPr>
          <w:sz w:val="20"/>
        </w:rPr>
        <w:t xml:space="preserve">(п. 22 в ред. </w:t>
      </w:r>
      <w:hyperlink w:history="0" r:id="rId40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416" w:name="P1416"/>
    <w:bookmarkEnd w:id="1416"/>
    <w:p>
      <w:pPr>
        <w:pStyle w:val="0"/>
        <w:spacing w:before="200" w:line-rule="auto"/>
        <w:ind w:firstLine="540"/>
        <w:jc w:val="both"/>
      </w:pPr>
      <w:r>
        <w:rPr>
          <w:sz w:val="20"/>
        </w:rPr>
        <w:t xml:space="preserve">23. В состав конкурсной комиссии входят председатель комиссии, заместитель председателя комиссии, секретарь комиссии и члены комиссии. В состав конкурсной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w:t>
      </w:r>
    </w:p>
    <w:p>
      <w:pPr>
        <w:pStyle w:val="0"/>
        <w:spacing w:before="200" w:line-rule="auto"/>
        <w:ind w:firstLine="540"/>
        <w:jc w:val="both"/>
      </w:pPr>
      <w:r>
        <w:rPr>
          <w:sz w:val="20"/>
        </w:rPr>
        <w:t xml:space="preserve">Число членов конкурсной комиссии, замещающих государственные должности Новосибирской области, должности государственной гражданской службы, муниципальной службы, муниципальные должности, должно составлять не более одной трети от общего числа членов конкурсной комиссии.</w:t>
      </w:r>
    </w:p>
    <w:p>
      <w:pPr>
        <w:pStyle w:val="0"/>
        <w:spacing w:before="200" w:line-rule="auto"/>
        <w:ind w:firstLine="540"/>
        <w:jc w:val="both"/>
      </w:pPr>
      <w:r>
        <w:rPr>
          <w:sz w:val="20"/>
        </w:rPr>
        <w:t xml:space="preserve">24. В целях определения победителей конкурса в срок, установленный </w:t>
      </w:r>
      <w:hyperlink w:history="0" w:anchor="P1346"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абзацем первым пункта 22</w:t>
        </w:r>
      </w:hyperlink>
      <w:r>
        <w:rPr>
          <w:sz w:val="20"/>
        </w:rPr>
        <w:t xml:space="preserve"> Порядка, формируется протокол подведения итогов конкурса.</w:t>
      </w:r>
    </w:p>
    <w:p>
      <w:pPr>
        <w:pStyle w:val="0"/>
        <w:jc w:val="both"/>
      </w:pPr>
      <w:r>
        <w:rPr>
          <w:sz w:val="20"/>
        </w:rPr>
        <w:t xml:space="preserve">(в ред. </w:t>
      </w:r>
      <w:hyperlink w:history="0" r:id="rId40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конкурса включает следующие сведения:</w:t>
      </w:r>
    </w:p>
    <w:p>
      <w:pPr>
        <w:pStyle w:val="0"/>
        <w:jc w:val="both"/>
      </w:pPr>
      <w:r>
        <w:rPr>
          <w:sz w:val="20"/>
        </w:rPr>
        <w:t xml:space="preserve">(в ред. </w:t>
      </w:r>
      <w:hyperlink w:history="0" r:id="rId41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дату, время и место проведения рассмотрения заявок;</w:t>
      </w:r>
    </w:p>
    <w:p>
      <w:pPr>
        <w:pStyle w:val="0"/>
        <w:spacing w:before="200" w:line-rule="auto"/>
        <w:ind w:firstLine="540"/>
        <w:jc w:val="both"/>
      </w:pPr>
      <w:r>
        <w:rPr>
          <w:sz w:val="20"/>
        </w:rPr>
        <w:t xml:space="preserve">2) дату, время и место оценки заявок организаций;</w:t>
      </w:r>
    </w:p>
    <w:p>
      <w:pPr>
        <w:pStyle w:val="0"/>
        <w:spacing w:before="200" w:line-rule="auto"/>
        <w:ind w:firstLine="540"/>
        <w:jc w:val="both"/>
      </w:pPr>
      <w:r>
        <w:rPr>
          <w:sz w:val="20"/>
        </w:rPr>
        <w:t xml:space="preserve">3) информацию об организациях, заявки которых были рассмотрены;</w:t>
      </w:r>
    </w:p>
    <w:p>
      <w:pPr>
        <w:pStyle w:val="0"/>
        <w:spacing w:before="200" w:line-rule="auto"/>
        <w:ind w:firstLine="540"/>
        <w:jc w:val="both"/>
      </w:pPr>
      <w:r>
        <w:rPr>
          <w:sz w:val="20"/>
        </w:rPr>
        <w:t xml:space="preserve">4) информацию об организациях,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pPr>
        <w:pStyle w:val="0"/>
        <w:spacing w:before="200" w:line-rule="auto"/>
        <w:ind w:firstLine="540"/>
        <w:jc w:val="both"/>
      </w:pPr>
      <w:r>
        <w:rPr>
          <w:sz w:val="20"/>
        </w:rPr>
        <w:t xml:space="preserve">5) последовательность оценки заявок организаций, присвоенные заявкам организаций значения по каждому из предусмотренных критериев оценки заявок организаций, принятое на основании результатов оценки указанных заявок решение о присвоении таким заявкам порядковых номеров;</w:t>
      </w:r>
    </w:p>
    <w:p>
      <w:pPr>
        <w:pStyle w:val="0"/>
        <w:spacing w:before="200" w:line-rule="auto"/>
        <w:ind w:firstLine="540"/>
        <w:jc w:val="both"/>
      </w:pPr>
      <w:r>
        <w:rPr>
          <w:sz w:val="20"/>
        </w:rPr>
        <w:t xml:space="preserve">6) наименование организаций - победителей конкурса (получателей гранта), с которыми заключается соглашение по результатам конкурса, их ОГРН, идентификационный номер налогоплательщика, название и краткое описание проекта, на осуществление которого предоставляется грант, его размер;</w:t>
      </w:r>
    </w:p>
    <w:p>
      <w:pPr>
        <w:pStyle w:val="0"/>
        <w:spacing w:before="200" w:line-rule="auto"/>
        <w:ind w:firstLine="540"/>
        <w:jc w:val="both"/>
      </w:pPr>
      <w:r>
        <w:rPr>
          <w:sz w:val="20"/>
        </w:rPr>
        <w:t xml:space="preserve">7) информацию об участниках заседания конкурсной комиссии, о результатах голосования (в том числе о лицах, голосовавших против принятия решения, об особом мнении участников заседания конкурсной комиссии, которое они внесли в протокол).</w:t>
      </w:r>
    </w:p>
    <w:p>
      <w:pPr>
        <w:pStyle w:val="0"/>
        <w:jc w:val="both"/>
      </w:pPr>
      <w:r>
        <w:rPr>
          <w:sz w:val="20"/>
        </w:rPr>
        <w:t xml:space="preserve">(в ред. </w:t>
      </w:r>
      <w:hyperlink w:history="0" r:id="rId41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конкурса автоматически формируется на едином портале на основании результатов определения победителей конкурса, подписывается усиленной квалифицированной электронной подписью председателя и членов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 Одновременно протокол размещается министерством на его официальном сайте в сети "Интернет".</w:t>
      </w:r>
    </w:p>
    <w:p>
      <w:pPr>
        <w:pStyle w:val="0"/>
        <w:jc w:val="both"/>
      </w:pPr>
      <w:r>
        <w:rPr>
          <w:sz w:val="20"/>
        </w:rPr>
        <w:t xml:space="preserve">(в ред. </w:t>
      </w:r>
      <w:hyperlink w:history="0" r:id="rId41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Внесение изменений в протокол подведения итогов конкурса осуществляется не позднее 10 календарных дней со дня подписания первой версии протокола подведения итогов конкурса путем формирования новой версии указанного протокола с указанием причин внесения изменений.</w:t>
      </w:r>
    </w:p>
    <w:p>
      <w:pPr>
        <w:pStyle w:val="0"/>
        <w:jc w:val="both"/>
      </w:pPr>
      <w:r>
        <w:rPr>
          <w:sz w:val="20"/>
        </w:rPr>
        <w:t xml:space="preserve">(в ред. </w:t>
      </w:r>
      <w:hyperlink w:history="0" r:id="rId41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434" w:name="P1434"/>
    <w:bookmarkEnd w:id="1434"/>
    <w:p>
      <w:pPr>
        <w:pStyle w:val="0"/>
        <w:spacing w:before="200" w:line-rule="auto"/>
        <w:ind w:firstLine="540"/>
        <w:jc w:val="both"/>
      </w:pPr>
      <w:r>
        <w:rPr>
          <w:sz w:val="20"/>
        </w:rPr>
        <w:t xml:space="preserve">25. В течение пяти рабочих дней со дня размещения на едином портале протокола подведения итогов конкурса издает приказ о результатах конкурса с указанием организаций - победителей конкурса и размера предоставляемых им грантов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w:t>
      </w:r>
    </w:p>
    <w:p>
      <w:pPr>
        <w:pStyle w:val="0"/>
        <w:jc w:val="both"/>
      </w:pPr>
      <w:r>
        <w:rPr>
          <w:sz w:val="20"/>
        </w:rPr>
        <w:t xml:space="preserve">(в ред. </w:t>
      </w:r>
      <w:hyperlink w:history="0" r:id="rId41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26. Конкурс признается несостоявшимся в следующих случаях:</w:t>
      </w:r>
    </w:p>
    <w:p>
      <w:pPr>
        <w:pStyle w:val="0"/>
        <w:spacing w:before="200" w:line-rule="auto"/>
        <w:ind w:firstLine="540"/>
        <w:jc w:val="both"/>
      </w:pPr>
      <w:r>
        <w:rPr>
          <w:sz w:val="20"/>
        </w:rPr>
        <w:t xml:space="preserve">1) по окончании срока подачи заявок не подано ни одной заявки;</w:t>
      </w:r>
    </w:p>
    <w:p>
      <w:pPr>
        <w:pStyle w:val="0"/>
        <w:spacing w:before="200" w:line-rule="auto"/>
        <w:ind w:firstLine="540"/>
        <w:jc w:val="both"/>
      </w:pPr>
      <w:r>
        <w:rPr>
          <w:sz w:val="20"/>
        </w:rPr>
        <w:t xml:space="preserve">2) по результатам рассмотрения заявок отклонены все заявки.</w:t>
      </w:r>
    </w:p>
    <w:p>
      <w:pPr>
        <w:pStyle w:val="0"/>
        <w:spacing w:before="200" w:line-rule="auto"/>
        <w:ind w:firstLine="540"/>
        <w:jc w:val="both"/>
      </w:pPr>
      <w:r>
        <w:rPr>
          <w:sz w:val="20"/>
        </w:rPr>
        <w:t xml:space="preserve">В течение пяти рабочих дней со дня окончания срока подачи заявок в случае отсутствия поданных заявок либо в течение 15 рабочих дней со дня окончания срока приема заявок в случае отклонения всех заявок министерство издает приказ о признании конкурса несостоявшимся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вместе с объявлением о признании конкурса несостоявшимся.</w:t>
      </w:r>
    </w:p>
    <w:p>
      <w:pPr>
        <w:pStyle w:val="0"/>
        <w:jc w:val="both"/>
      </w:pPr>
      <w:r>
        <w:rPr>
          <w:sz w:val="20"/>
        </w:rPr>
        <w:t xml:space="preserve">(в ред. </w:t>
      </w:r>
      <w:hyperlink w:history="0" r:id="rId41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Абзац утратил силу. - </w:t>
      </w:r>
      <w:hyperlink w:history="0" r:id="rId41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Условия и порядок предоставления грантов</w:t>
      </w:r>
    </w:p>
    <w:p>
      <w:pPr>
        <w:pStyle w:val="0"/>
        <w:ind w:firstLine="540"/>
        <w:jc w:val="both"/>
      </w:pPr>
      <w:r>
        <w:rPr>
          <w:sz w:val="20"/>
        </w:rPr>
      </w:r>
    </w:p>
    <w:bookmarkStart w:id="1445" w:name="P1445"/>
    <w:bookmarkEnd w:id="1445"/>
    <w:p>
      <w:pPr>
        <w:pStyle w:val="0"/>
        <w:ind w:firstLine="540"/>
        <w:jc w:val="both"/>
      </w:pPr>
      <w:r>
        <w:rPr>
          <w:sz w:val="20"/>
        </w:rPr>
        <w:t xml:space="preserve">27. Размер гранта определяется в соответствии с запрашиваемым размером гранта, указанным в заявке, но не более предельного размера гранта, установленного в объявлении о проведении конкурса.</w:t>
      </w:r>
    </w:p>
    <w:bookmarkStart w:id="1446" w:name="P1446"/>
    <w:bookmarkEnd w:id="1446"/>
    <w:p>
      <w:pPr>
        <w:pStyle w:val="0"/>
        <w:spacing w:before="200" w:line-rule="auto"/>
        <w:ind w:firstLine="540"/>
        <w:jc w:val="both"/>
      </w:pPr>
      <w:r>
        <w:rPr>
          <w:sz w:val="20"/>
        </w:rPr>
        <w:t xml:space="preserve">28. Результатом, в целях достижения которого предоставляется грант (далее - результат предоставления гранта), является реализованный социально значимый проект.</w:t>
      </w:r>
    </w:p>
    <w:p>
      <w:pPr>
        <w:pStyle w:val="0"/>
        <w:spacing w:before="200" w:line-rule="auto"/>
        <w:ind w:firstLine="540"/>
        <w:jc w:val="both"/>
      </w:pPr>
      <w:r>
        <w:rPr>
          <w:sz w:val="20"/>
        </w:rPr>
        <w:t xml:space="preserve">Характеристиками результата предоставления гранта (показателями, необходимыми для достижения результата предоставления гранта) (далее - характеристики предоставления гранта) являются:</w:t>
      </w:r>
    </w:p>
    <w:p>
      <w:pPr>
        <w:pStyle w:val="0"/>
        <w:spacing w:before="200" w:line-rule="auto"/>
        <w:ind w:firstLine="540"/>
        <w:jc w:val="both"/>
      </w:pPr>
      <w:r>
        <w:rPr>
          <w:sz w:val="20"/>
        </w:rPr>
        <w:t xml:space="preserve">численность граждан, принимающих участие в деятельности социально ориентированной некоммерческой организации, связанной с реализацией социально значимых проектов и программ, получившей государственную поддержку, численность граждан, в интересах которых осуществляется деятельность социально ориентированной некоммерческой организации, получившей государственную поддержку, - при проведении конкурса, направленного на государственную поддержку общественных инициатив, социально ориентированных некоммерческих организаций;</w:t>
      </w:r>
    </w:p>
    <w:p>
      <w:pPr>
        <w:pStyle w:val="0"/>
        <w:spacing w:before="200" w:line-rule="auto"/>
        <w:ind w:firstLine="540"/>
        <w:jc w:val="both"/>
      </w:pPr>
      <w:r>
        <w:rPr>
          <w:sz w:val="20"/>
        </w:rPr>
        <w:t xml:space="preserve">количество участников мероприятий, направленных на формирование и развитие качеств, позволяющих успешно выполнить функцию защиты Отечества, - при проведении конкурса, направленного на развитие и совершенствование форм и методов работы в сфере патриотического воспитания граждан Российской Федерации в Новосибирской области.</w:t>
      </w:r>
    </w:p>
    <w:p>
      <w:pPr>
        <w:pStyle w:val="0"/>
        <w:spacing w:before="200" w:line-rule="auto"/>
        <w:ind w:firstLine="540"/>
        <w:jc w:val="both"/>
      </w:pPr>
      <w:r>
        <w:rPr>
          <w:sz w:val="20"/>
        </w:rPr>
        <w:t xml:space="preserve">Направление конкурса определяется приказом об объявлении конкурса.</w:t>
      </w:r>
    </w:p>
    <w:p>
      <w:pPr>
        <w:pStyle w:val="0"/>
        <w:spacing w:before="200" w:line-rule="auto"/>
        <w:ind w:firstLine="540"/>
        <w:jc w:val="both"/>
      </w:pPr>
      <w:r>
        <w:rPr>
          <w:sz w:val="20"/>
        </w:rPr>
        <w:t xml:space="preserve">Характеристики результата предоставления гранта устанавливаются министерством в соглашении исходя из показателей, указанных в заявке организации - победителя конкурса.</w:t>
      </w:r>
    </w:p>
    <w:p>
      <w:pPr>
        <w:pStyle w:val="0"/>
        <w:jc w:val="both"/>
      </w:pPr>
      <w:r>
        <w:rPr>
          <w:sz w:val="20"/>
        </w:rPr>
        <w:t xml:space="preserve">(п. 28 в ред. </w:t>
      </w:r>
      <w:hyperlink w:history="0" r:id="rId41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29. Грант предоставляется на основании соглашения, заключаемого между министерством и организацией - победителем конкурса.</w:t>
      </w:r>
    </w:p>
    <w:p>
      <w:pPr>
        <w:pStyle w:val="0"/>
        <w:spacing w:before="200" w:line-rule="auto"/>
        <w:ind w:firstLine="540"/>
        <w:jc w:val="both"/>
      </w:pPr>
      <w:r>
        <w:rPr>
          <w:sz w:val="20"/>
        </w:rPr>
        <w:t xml:space="preserve">30. Министерство в течение 30 рабочих дней со дня размещения на едином портале протокола подведения итогов конкурса обеспечивает размещение проекта соглашения в системе "Электронный бюджет".</w:t>
      </w:r>
    </w:p>
    <w:p>
      <w:pPr>
        <w:pStyle w:val="0"/>
        <w:jc w:val="both"/>
      </w:pPr>
      <w:r>
        <w:rPr>
          <w:sz w:val="20"/>
        </w:rPr>
        <w:t xml:space="preserve">(п. 30 в ред. </w:t>
      </w:r>
      <w:hyperlink w:history="0" r:id="rId41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31. В случае невозможности предоставления гранта в текущем финансовом году в связи с недостаточностью лимитов бюджетных обязательств министерство согласует с получателем гранта новые условия исполнения соглашения (уточнение финансового обеспечения предоставления гранта в счет лимитов бюджетных обязательств очередного финансового года и уточнение сроков исполнения соглашения или расторжение заключенного соглашения).</w:t>
      </w:r>
    </w:p>
    <w:p>
      <w:pPr>
        <w:pStyle w:val="0"/>
        <w:spacing w:before="200" w:line-rule="auto"/>
        <w:ind w:firstLine="540"/>
        <w:jc w:val="both"/>
      </w:pPr>
      <w:r>
        <w:rPr>
          <w:sz w:val="20"/>
        </w:rPr>
        <w:t xml:space="preserve">32. Министерство отказывает организации - победителю конкурса в заключении соглашения по следующим основаниям:</w:t>
      </w:r>
    </w:p>
    <w:p>
      <w:pPr>
        <w:pStyle w:val="0"/>
        <w:spacing w:before="200" w:line-rule="auto"/>
        <w:ind w:firstLine="540"/>
        <w:jc w:val="both"/>
      </w:pPr>
      <w:r>
        <w:rPr>
          <w:sz w:val="20"/>
        </w:rPr>
        <w:t xml:space="preserve">1) несоответствие представленных организацией документов требованиям, определенным </w:t>
      </w:r>
      <w:hyperlink w:history="0" w:anchor="P1197" w:tooltip="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w:r>
          <w:rPr>
            <w:sz w:val="20"/>
            <w:color w:val="0000ff"/>
          </w:rPr>
          <w:t xml:space="preserve">пунктами 5</w:t>
        </w:r>
      </w:hyperlink>
      <w:r>
        <w:rPr>
          <w:sz w:val="20"/>
        </w:rPr>
        <w:t xml:space="preserve">, </w:t>
      </w:r>
      <w:hyperlink w:history="0" w:anchor="P1271" w:tooltip="12. Организация должна соответствовать следующим требованиям:">
        <w:r>
          <w:rPr>
            <w:sz w:val="20"/>
            <w:color w:val="0000ff"/>
          </w:rPr>
          <w:t xml:space="preserve">12</w:t>
        </w:r>
      </w:hyperlink>
      <w:r>
        <w:rPr>
          <w:sz w:val="20"/>
        </w:rPr>
        <w:t xml:space="preserve"> Порядка, или непредставление (представление не в полном объеме) указанных документов;</w:t>
      </w:r>
    </w:p>
    <w:p>
      <w:pPr>
        <w:pStyle w:val="0"/>
        <w:spacing w:before="200" w:line-rule="auto"/>
        <w:ind w:firstLine="540"/>
        <w:jc w:val="both"/>
      </w:pPr>
      <w:r>
        <w:rPr>
          <w:sz w:val="20"/>
        </w:rPr>
        <w:t xml:space="preserve">2) установление факта недостоверности представленной организацией информации.</w:t>
      </w:r>
    </w:p>
    <w:p>
      <w:pPr>
        <w:pStyle w:val="0"/>
        <w:spacing w:before="200" w:line-rule="auto"/>
        <w:ind w:firstLine="540"/>
        <w:jc w:val="both"/>
      </w:pPr>
      <w:r>
        <w:rPr>
          <w:sz w:val="20"/>
        </w:rPr>
        <w:t xml:space="preserve">При наличии оснований для отказа в заключении соглашения, указанных в настоящем пункте, министерство в течение десяти рабочих дней с момента выявления оснований для отказа направляет организации письменное уведомление об отказе в заключении соглашения с указанием причин такого отказа по адресу, указанному в заявке.</w:t>
      </w:r>
    </w:p>
    <w:p>
      <w:pPr>
        <w:pStyle w:val="0"/>
        <w:spacing w:before="200" w:line-rule="auto"/>
        <w:ind w:firstLine="540"/>
        <w:jc w:val="both"/>
      </w:pPr>
      <w:r>
        <w:rPr>
          <w:sz w:val="20"/>
        </w:rPr>
        <w:t xml:space="preserve">33. Организация - победитель конкурса обеспечивает подписание проекта соглашения в системе "Электронный бюджет" в течение десяти рабочих дней со дня его размещения министерством. В случае отказа от подписания соглашения в течение указанного срока организация считается уклонившейся от заключения соглашения.</w:t>
      </w:r>
    </w:p>
    <w:p>
      <w:pPr>
        <w:pStyle w:val="0"/>
        <w:jc w:val="both"/>
      </w:pPr>
      <w:r>
        <w:rPr>
          <w:sz w:val="20"/>
        </w:rPr>
        <w:t xml:space="preserve">(п. 33 в ред. </w:t>
      </w:r>
      <w:hyperlink w:history="0" r:id="rId41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34. Соглашение, дополнительное соглашение о внесении изменений, а также дополнительное соглашение о расторжении соглашения (при необходимости) подготавливаются (формируются) и заключаются в системе "Электронный бюджет" в соответствии с типовой формой, установленной министерством финансов и налоговой политики Новосибирской области.</w:t>
      </w:r>
    </w:p>
    <w:p>
      <w:pPr>
        <w:pStyle w:val="0"/>
        <w:spacing w:before="200" w:line-rule="auto"/>
        <w:ind w:firstLine="540"/>
        <w:jc w:val="both"/>
      </w:pPr>
      <w:r>
        <w:rPr>
          <w:sz w:val="20"/>
        </w:rPr>
        <w:t xml:space="preserve">35. В соглашении указываются:</w:t>
      </w:r>
    </w:p>
    <w:p>
      <w:pPr>
        <w:pStyle w:val="0"/>
        <w:spacing w:before="200" w:line-rule="auto"/>
        <w:ind w:firstLine="540"/>
        <w:jc w:val="both"/>
      </w:pPr>
      <w:r>
        <w:rPr>
          <w:sz w:val="20"/>
        </w:rPr>
        <w:t xml:space="preserve">1) результаты предоставления гранта и характеристики результата предоставления гранта;</w:t>
      </w:r>
    </w:p>
    <w:p>
      <w:pPr>
        <w:pStyle w:val="0"/>
        <w:jc w:val="both"/>
      </w:pPr>
      <w:r>
        <w:rPr>
          <w:sz w:val="20"/>
        </w:rPr>
        <w:t xml:space="preserve">(пп. 1 в ред. </w:t>
      </w:r>
      <w:hyperlink w:history="0" r:id="rId42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срок (периодичность) перечисления гранта в соответствии с бюджетным законодательством Российской Федерации;</w:t>
      </w:r>
    </w:p>
    <w:bookmarkStart w:id="1468" w:name="P1468"/>
    <w:bookmarkEnd w:id="1468"/>
    <w:p>
      <w:pPr>
        <w:pStyle w:val="0"/>
        <w:spacing w:before="200" w:line-rule="auto"/>
        <w:ind w:firstLine="540"/>
        <w:jc w:val="both"/>
      </w:pPr>
      <w:r>
        <w:rPr>
          <w:sz w:val="20"/>
        </w:rPr>
        <w:t xml:space="preserve">3) счет (счета), на который (которые) перечисляется грант, с учетом положений, установленных бюджетным законодательством Российской Федерации;</w:t>
      </w:r>
    </w:p>
    <w:p>
      <w:pPr>
        <w:pStyle w:val="0"/>
        <w:spacing w:before="200" w:line-rule="auto"/>
        <w:ind w:firstLine="540"/>
        <w:jc w:val="both"/>
      </w:pPr>
      <w:r>
        <w:rPr>
          <w:sz w:val="20"/>
        </w:rPr>
        <w:t xml:space="preserve">4) условие о согласии организации и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грантов на финансовое обеспечение затрат организации, на осуществление министерством в отношении их проверки соблюдения порядка и условий предоставления гранта, в том числе в части достижения результатов предоставления гранта, а также проверки органом государственного финансового контроля соблюдения организацией порядка и условий предоставления гранта в соответствии со </w:t>
      </w:r>
      <w:hyperlink w:history="0" r:id="rId421"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422"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5) запрет приобретения за счет средств, предоставленных на финансовое обеспечение затрат организации,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Порядком;</w:t>
      </w:r>
    </w:p>
    <w:p>
      <w:pPr>
        <w:pStyle w:val="0"/>
        <w:spacing w:before="200" w:line-rule="auto"/>
        <w:ind w:firstLine="540"/>
        <w:jc w:val="both"/>
      </w:pPr>
      <w:r>
        <w:rPr>
          <w:sz w:val="20"/>
        </w:rPr>
        <w:t xml:space="preserve">6)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приводящего к невозможности предоставления гранта в размере, определенном в соглашении.</w:t>
      </w:r>
    </w:p>
    <w:p>
      <w:pPr>
        <w:pStyle w:val="0"/>
        <w:spacing w:before="200" w:line-rule="auto"/>
        <w:ind w:firstLine="540"/>
        <w:jc w:val="both"/>
      </w:pPr>
      <w:r>
        <w:rPr>
          <w:sz w:val="20"/>
        </w:rPr>
        <w:t xml:space="preserve">36. После заключения соглашения министерство в течение 20 рабочих дней перечисляет грант на счет (счета) организации, указанный (указанные) в соглашении в соответствии с </w:t>
      </w:r>
      <w:hyperlink w:history="0" w:anchor="P1468" w:tooltip="3) счет (счета), на который (которые) перечисляется грант, с учетом положений, установленных бюджетным законодательством Российской Федерации;">
        <w:r>
          <w:rPr>
            <w:sz w:val="20"/>
            <w:color w:val="0000ff"/>
          </w:rPr>
          <w:t xml:space="preserve">подпунктом 3 пункта 35</w:t>
        </w:r>
      </w:hyperlink>
      <w:r>
        <w:rPr>
          <w:sz w:val="20"/>
        </w:rPr>
        <w:t xml:space="preserve"> Порядка.</w:t>
      </w:r>
    </w:p>
    <w:p>
      <w:pPr>
        <w:pStyle w:val="0"/>
        <w:spacing w:before="200" w:line-rule="auto"/>
        <w:ind w:firstLine="540"/>
        <w:jc w:val="both"/>
      </w:pPr>
      <w:r>
        <w:rPr>
          <w:sz w:val="20"/>
        </w:rPr>
        <w:t xml:space="preserve">37. Грант предоставляется на основании подписанного организацией и министерством соглашения в пределах лимитов бюджетных обязательств, установленных министерству на текущий финансовый год в соответствии со сводной бюджетной росписью и кассовым планом областного бюджета.</w:t>
      </w:r>
    </w:p>
    <w:p>
      <w:pPr>
        <w:pStyle w:val="0"/>
        <w:spacing w:before="200" w:line-rule="auto"/>
        <w:ind w:firstLine="540"/>
        <w:jc w:val="both"/>
      </w:pPr>
      <w:r>
        <w:rPr>
          <w:sz w:val="20"/>
        </w:rPr>
        <w:t xml:space="preserve">38. Предоставленные гранты должны быть использованы в сроки, предусмотренные соглашениями.</w:t>
      </w:r>
    </w:p>
    <w:p>
      <w:pPr>
        <w:pStyle w:val="0"/>
        <w:spacing w:before="200" w:line-rule="auto"/>
        <w:ind w:firstLine="540"/>
        <w:jc w:val="both"/>
      </w:pPr>
      <w:r>
        <w:rPr>
          <w:sz w:val="20"/>
        </w:rPr>
        <w:t xml:space="preserve">Сроки использования гранта не ограничиваются финансовым годом, в котором предоставлены эти гранты.</w:t>
      </w:r>
    </w:p>
    <w:p>
      <w:pPr>
        <w:pStyle w:val="0"/>
        <w:ind w:firstLine="540"/>
        <w:jc w:val="both"/>
      </w:pPr>
      <w:r>
        <w:rPr>
          <w:sz w:val="20"/>
        </w:rPr>
      </w:r>
    </w:p>
    <w:p>
      <w:pPr>
        <w:pStyle w:val="2"/>
        <w:outlineLvl w:val="1"/>
        <w:jc w:val="center"/>
      </w:pPr>
      <w:r>
        <w:rPr>
          <w:sz w:val="20"/>
        </w:rPr>
        <w:t xml:space="preserve">Требования к отчетности</w:t>
      </w:r>
    </w:p>
    <w:p>
      <w:pPr>
        <w:pStyle w:val="0"/>
        <w:ind w:firstLine="540"/>
        <w:jc w:val="both"/>
      </w:pPr>
      <w:r>
        <w:rPr>
          <w:sz w:val="20"/>
        </w:rPr>
      </w:r>
    </w:p>
    <w:bookmarkStart w:id="1479" w:name="P1479"/>
    <w:bookmarkEnd w:id="1479"/>
    <w:p>
      <w:pPr>
        <w:pStyle w:val="0"/>
        <w:ind w:firstLine="540"/>
        <w:jc w:val="both"/>
      </w:pPr>
      <w:r>
        <w:rPr>
          <w:sz w:val="20"/>
        </w:rPr>
        <w:t xml:space="preserve">39. Отчет о достижении значений результатов предоставления гранта и характеристик результата предоставления гранта, отчет об осуществлении расходов, источником которых является грант, отчет о реализации плана мероприятий по достижению результатов предоставления гранта и характеристик результата предоставления гранта (контрольных точек) (далее - отчет) представляются в министерство организацией не реже одного раза в квартал по формам, определенным типовыми формами соглашений, установленным министерством финансов и налоговой политики Новосибирской области.</w:t>
      </w:r>
    </w:p>
    <w:p>
      <w:pPr>
        <w:pStyle w:val="0"/>
        <w:jc w:val="both"/>
      </w:pPr>
      <w:r>
        <w:rPr>
          <w:sz w:val="20"/>
        </w:rPr>
        <w:t xml:space="preserve">(в ред. </w:t>
      </w:r>
      <w:hyperlink w:history="0" r:id="rId42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вправе устанавливать в соглашении сроки и формы представления получателем гранта дополнительной отчетности.</w:t>
      </w:r>
    </w:p>
    <w:p>
      <w:pPr>
        <w:pStyle w:val="0"/>
        <w:spacing w:before="200" w:line-rule="auto"/>
        <w:ind w:firstLine="540"/>
        <w:jc w:val="both"/>
      </w:pPr>
      <w:r>
        <w:rPr>
          <w:sz w:val="20"/>
        </w:rPr>
        <w:t xml:space="preserve">40. Министерство осуществляет проверку отчетов в течение 60 рабочих дней со дня их поступления, по результатам которой:</w:t>
      </w:r>
    </w:p>
    <w:p>
      <w:pPr>
        <w:pStyle w:val="0"/>
        <w:spacing w:before="200" w:line-rule="auto"/>
        <w:ind w:firstLine="540"/>
        <w:jc w:val="both"/>
      </w:pPr>
      <w:r>
        <w:rPr>
          <w:sz w:val="20"/>
        </w:rPr>
        <w:t xml:space="preserve">1) принимает отчет;</w:t>
      </w:r>
    </w:p>
    <w:p>
      <w:pPr>
        <w:pStyle w:val="0"/>
        <w:spacing w:before="200" w:line-rule="auto"/>
        <w:ind w:firstLine="540"/>
        <w:jc w:val="both"/>
      </w:pPr>
      <w:r>
        <w:rPr>
          <w:sz w:val="20"/>
        </w:rPr>
        <w:t xml:space="preserve">2) возвращает отчет получателю гранта на доработку при наличии замечаний. Получатель гранта дорабатывает отчет в течение десяти рабочих дней со дня его получения и представляет в министерство доработанный отчет для проведения повторной проверки.</w:t>
      </w:r>
    </w:p>
    <w:p>
      <w:pPr>
        <w:pStyle w:val="0"/>
        <w:jc w:val="both"/>
      </w:pPr>
      <w:r>
        <w:rPr>
          <w:sz w:val="20"/>
        </w:rPr>
        <w:t xml:space="preserve">(в ред. </w:t>
      </w:r>
      <w:hyperlink w:history="0" r:id="rId42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Получатель гранта несет ответственность за достоверность и своевременность представления отчетности, предусмотренной </w:t>
      </w:r>
      <w:hyperlink w:history="0" w:anchor="P1479" w:tooltip="39. Отчет о достижении значений результатов предоставления гранта и характеристик результата предоставления гранта, отчет об осуществлении расходов, источником которых является грант, отчет о реализации плана мероприятий по достижению результатов предоставления гранта и характеристик результата предоставления гранта (контрольных точек) (далее - отчет) представляются в министерство организацией не реже одного раза в квартал по формам, определенным типовыми формами соглашений, установленным министерством ф...">
        <w:r>
          <w:rPr>
            <w:sz w:val="20"/>
            <w:color w:val="0000ff"/>
          </w:rPr>
          <w:t xml:space="preserve">пунктом 39</w:t>
        </w:r>
      </w:hyperlink>
      <w:r>
        <w:rPr>
          <w:sz w:val="20"/>
        </w:rPr>
        <w:t xml:space="preserve"> Порядка.</w:t>
      </w:r>
    </w:p>
    <w:p>
      <w:pPr>
        <w:pStyle w:val="0"/>
        <w:ind w:firstLine="540"/>
        <w:jc w:val="both"/>
      </w:pPr>
      <w:r>
        <w:rPr>
          <w:sz w:val="20"/>
        </w:rPr>
      </w:r>
    </w:p>
    <w:p>
      <w:pPr>
        <w:pStyle w:val="2"/>
        <w:outlineLvl w:val="1"/>
        <w:jc w:val="center"/>
      </w:pPr>
      <w:r>
        <w:rPr>
          <w:sz w:val="20"/>
        </w:rPr>
        <w:t xml:space="preserve">Требования об осуществлении контроля (мониторинга)</w:t>
      </w:r>
    </w:p>
    <w:p>
      <w:pPr>
        <w:pStyle w:val="2"/>
        <w:jc w:val="center"/>
      </w:pPr>
      <w:r>
        <w:rPr>
          <w:sz w:val="20"/>
        </w:rPr>
        <w:t xml:space="preserve">за соблюдением условий и порядка предоставления</w:t>
      </w:r>
    </w:p>
    <w:p>
      <w:pPr>
        <w:pStyle w:val="2"/>
        <w:jc w:val="center"/>
      </w:pPr>
      <w:r>
        <w:rPr>
          <w:sz w:val="20"/>
        </w:rPr>
        <w:t xml:space="preserve">грантов и ответственности за их нарушение</w:t>
      </w:r>
    </w:p>
    <w:p>
      <w:pPr>
        <w:pStyle w:val="0"/>
        <w:ind w:firstLine="540"/>
        <w:jc w:val="both"/>
      </w:pPr>
      <w:r>
        <w:rPr>
          <w:sz w:val="20"/>
        </w:rPr>
      </w:r>
    </w:p>
    <w:p>
      <w:pPr>
        <w:pStyle w:val="0"/>
        <w:ind w:firstLine="540"/>
        <w:jc w:val="both"/>
      </w:pPr>
      <w:r>
        <w:rPr>
          <w:sz w:val="20"/>
        </w:rPr>
        <w:t xml:space="preserve">41. Получатель гранта несет ответственность за соблюдение условий и порядка предоставления гранта в соответствии с действующим законодательством Российской Федерации.</w:t>
      </w:r>
    </w:p>
    <w:p>
      <w:pPr>
        <w:pStyle w:val="0"/>
        <w:spacing w:before="200" w:line-rule="auto"/>
        <w:ind w:firstLine="540"/>
        <w:jc w:val="both"/>
      </w:pPr>
      <w:r>
        <w:rPr>
          <w:sz w:val="20"/>
        </w:rPr>
        <w:t xml:space="preserve">42. Министерство осуществляет проверку соблюдения получателем гранта порядка и условий предоставления грантов, в том числе в части достижения результатов предоставления гранта и характеристик результата предоставления гранта.</w:t>
      </w:r>
    </w:p>
    <w:p>
      <w:pPr>
        <w:pStyle w:val="0"/>
        <w:jc w:val="both"/>
      </w:pPr>
      <w:r>
        <w:rPr>
          <w:sz w:val="20"/>
        </w:rPr>
        <w:t xml:space="preserve">(в ред. </w:t>
      </w:r>
      <w:hyperlink w:history="0" r:id="rId42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Органы государственного финансового контроля осуществляют проверку в соответствии со </w:t>
      </w:r>
      <w:hyperlink w:history="0" r:id="rId426"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427"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43. Министерство, министерство финансов и налоговой политики Новосибирской области проводят мониторинг достижения результатов предоставления гранта и характеристик результата предоставления гранта исходя из достижения значений результатов предоставления гранта и характеристик результата предоставления гранта, определенных соглашением, и событий, отражающих факт завершения соответствующего мероприятия по получению результата предоставления гранта (контрольная точка), в порядке и по формам, которые установлены Министерством финансов Российской Федерации.</w:t>
      </w:r>
    </w:p>
    <w:p>
      <w:pPr>
        <w:pStyle w:val="0"/>
        <w:jc w:val="both"/>
      </w:pPr>
      <w:r>
        <w:rPr>
          <w:sz w:val="20"/>
        </w:rPr>
        <w:t xml:space="preserve">(в ред. </w:t>
      </w:r>
      <w:hyperlink w:history="0" r:id="rId42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498" w:name="P1498"/>
    <w:bookmarkEnd w:id="1498"/>
    <w:p>
      <w:pPr>
        <w:pStyle w:val="0"/>
        <w:spacing w:before="200" w:line-rule="auto"/>
        <w:ind w:firstLine="540"/>
        <w:jc w:val="both"/>
      </w:pPr>
      <w:r>
        <w:rPr>
          <w:sz w:val="20"/>
        </w:rPr>
        <w:t xml:space="preserve">44. В случае нарушения получателем гранта условий, установленных при предоставлении гранта, выявленного в том числе по фактам проверок, проведенных главным распорядителем и уполномоченным органом государственного финансового контроля, грант подлежит возврату в областной бюджет.</w:t>
      </w:r>
    </w:p>
    <w:bookmarkStart w:id="1499" w:name="P1499"/>
    <w:bookmarkEnd w:id="1499"/>
    <w:p>
      <w:pPr>
        <w:pStyle w:val="0"/>
        <w:spacing w:before="200" w:line-rule="auto"/>
        <w:ind w:firstLine="540"/>
        <w:jc w:val="both"/>
      </w:pPr>
      <w:r>
        <w:rPr>
          <w:sz w:val="20"/>
        </w:rPr>
        <w:t xml:space="preserve">В случае недостижения значений результата предоставления гранта и характеристик результата предоставления гранта, выявленных по фактам проверок, проведенных министерством и уполномоченным органом государственного финансового контроля, грант подлежит возврату в областной бюджет в той части, в которой результат предоставления гранта не достигнут.</w:t>
      </w:r>
    </w:p>
    <w:p>
      <w:pPr>
        <w:pStyle w:val="0"/>
        <w:jc w:val="both"/>
      </w:pPr>
      <w:r>
        <w:rPr>
          <w:sz w:val="20"/>
        </w:rPr>
        <w:t xml:space="preserve">(в ред. </w:t>
      </w:r>
      <w:hyperlink w:history="0" r:id="rId42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Действие изменений, внесенных в абз. третий п. 44 </w:t>
            </w:r>
            <w:hyperlink w:history="0" r:id="rId43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color w:val="392c69"/>
              </w:rPr>
              <w:t xml:space="preserve"> Правительства Новосибирской области от 06.02.2025 N 48-п, </w:t>
            </w:r>
            <w:hyperlink w:history="0" r:id="rId43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распространяется</w:t>
              </w:r>
            </w:hyperlink>
            <w:r>
              <w:rPr>
                <w:sz w:val="20"/>
                <w:color w:val="392c69"/>
              </w:rPr>
              <w:t xml:space="preserve"> на правоотношения, возникшие с 12.09.2024.</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Размер гранта, подлежащий возврату в областной бюджет (V возврата) в случае если получателем гранта допущены нарушения обязательств по достижению результата предоставления гранта, определяется по формуле:</w:t>
      </w:r>
    </w:p>
    <w:p>
      <w:pPr>
        <w:pStyle w:val="0"/>
        <w:jc w:val="both"/>
      </w:pPr>
      <w:r>
        <w:rPr>
          <w:sz w:val="20"/>
        </w:rPr>
        <w:t xml:space="preserve">(в ред. </w:t>
      </w:r>
      <w:hyperlink w:history="0" r:id="rId43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sz w:val="20"/>
        </w:rPr>
        <w:t xml:space="preserve">V</w:t>
      </w:r>
      <w:r>
        <w:rPr>
          <w:sz w:val="20"/>
          <w:vertAlign w:val="subscript"/>
        </w:rPr>
        <w:t xml:space="preserve">возврата</w:t>
      </w:r>
      <w:r>
        <w:rPr>
          <w:sz w:val="20"/>
        </w:rPr>
        <w:t xml:space="preserve"> = 0,1 x (V</w:t>
      </w:r>
      <w:r>
        <w:rPr>
          <w:sz w:val="20"/>
          <w:vertAlign w:val="subscript"/>
        </w:rPr>
        <w:t xml:space="preserve">гранта</w:t>
      </w:r>
      <w:r>
        <w:rPr>
          <w:sz w:val="20"/>
        </w:rPr>
        <w:t xml:space="preserve"> x k x m / n),</w:t>
      </w:r>
    </w:p>
    <w:p>
      <w:pPr>
        <w:pStyle w:val="0"/>
        <w:jc w:val="both"/>
      </w:pPr>
      <w:r>
        <w:rPr>
          <w:sz w:val="20"/>
        </w:rPr>
        <w:t xml:space="preserve">(в ред. </w:t>
      </w:r>
      <w:hyperlink w:history="0" r:id="rId43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43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V</w:t>
      </w:r>
      <w:r>
        <w:rPr>
          <w:sz w:val="20"/>
          <w:vertAlign w:val="subscript"/>
        </w:rPr>
        <w:t xml:space="preserve">гранта</w:t>
      </w:r>
      <w:r>
        <w:rPr>
          <w:sz w:val="20"/>
        </w:rPr>
        <w:t xml:space="preserve"> - размер предоставленного гранта (в случае наличия неиспользованного остатка гранта, подлежащего возврату в областной бюджет Новосибирской области, - средства гранта, использованные организацией в рамках реализации проекта на дату окончания срока реализации проекта);</w:t>
      </w:r>
    </w:p>
    <w:p>
      <w:pPr>
        <w:pStyle w:val="0"/>
        <w:jc w:val="both"/>
      </w:pPr>
      <w:r>
        <w:rPr>
          <w:sz w:val="20"/>
        </w:rPr>
        <w:t xml:space="preserve">(в ред. </w:t>
      </w:r>
      <w:hyperlink w:history="0" r:id="rId43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k - коэффициент возврата гранта;</w:t>
      </w:r>
    </w:p>
    <w:p>
      <w:pPr>
        <w:pStyle w:val="0"/>
        <w:jc w:val="both"/>
      </w:pPr>
      <w:r>
        <w:rPr>
          <w:sz w:val="20"/>
        </w:rPr>
        <w:t xml:space="preserve">(в ред. </w:t>
      </w:r>
      <w:hyperlink w:history="0" r:id="rId43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m - количество показателей использования гранта, по которым не достигнуты плановые значения;</w:t>
      </w:r>
    </w:p>
    <w:p>
      <w:pPr>
        <w:pStyle w:val="0"/>
        <w:jc w:val="both"/>
      </w:pPr>
      <w:r>
        <w:rPr>
          <w:sz w:val="20"/>
        </w:rPr>
        <w:t xml:space="preserve">(в ред. </w:t>
      </w:r>
      <w:hyperlink w:history="0" r:id="rId43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n - общее количество показателей использования гранта.</w:t>
      </w:r>
    </w:p>
    <w:p>
      <w:pPr>
        <w:pStyle w:val="0"/>
        <w:jc w:val="both"/>
      </w:pPr>
      <w:r>
        <w:rPr>
          <w:sz w:val="20"/>
        </w:rPr>
        <w:t xml:space="preserve">(в ред. </w:t>
      </w:r>
      <w:hyperlink w:history="0" r:id="rId43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Коэффициент возврата гранта (k) рассчитывается по формуле:</w:t>
      </w:r>
    </w:p>
    <w:p>
      <w:pPr>
        <w:pStyle w:val="0"/>
        <w:jc w:val="both"/>
      </w:pPr>
      <w:r>
        <w:rPr>
          <w:sz w:val="20"/>
        </w:rPr>
        <w:t xml:space="preserve">(в ред. </w:t>
      </w:r>
      <w:hyperlink w:history="0" r:id="rId43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position w:val="-10"/>
        </w:rPr>
        <w:drawing>
          <wp:inline distT="0" distB="0" distL="0" distR="0">
            <wp:extent cx="1362075" cy="2571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0">
                      <a:extLst>
                        <a:ext uri="{28A0092B-C50C-407E-A947-70E740481C1C}">
                          <a14:useLocalDpi xmlns:a14="http://schemas.microsoft.com/office/drawing/2010/main" val="0"/>
                        </a:ext>
                      </a:extLst>
                    </a:blip>
                    <a:srcRect/>
                    <a:stretch>
                      <a:fillRect/>
                    </a:stretch>
                  </pic:blipFill>
                  <pic:spPr bwMode="auto">
                    <a:xfrm>
                      <a:off x="0" y="0"/>
                      <a:ext cx="1362075" cy="257175"/>
                    </a:xfrm>
                    <a:prstGeom prst="rect">
                      <a:avLst/>
                    </a:prstGeom>
                    <a:noFill/>
                    <a:ln>
                      <a:noFill/>
                    </a:ln>
                  </pic:spPr>
                </pic:pic>
              </a:graphicData>
            </a:graphic>
          </wp:inline>
        </w:drawing>
      </w:r>
    </w:p>
    <w:p>
      <w:pPr>
        <w:pStyle w:val="0"/>
        <w:jc w:val="both"/>
      </w:pPr>
      <w:r>
        <w:rPr>
          <w:sz w:val="20"/>
        </w:rPr>
        <w:t xml:space="preserve">(в ред. </w:t>
      </w:r>
      <w:hyperlink w:history="0" r:id="rId44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44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T</w:t>
      </w:r>
      <w:r>
        <w:rPr>
          <w:sz w:val="20"/>
          <w:vertAlign w:val="subscript"/>
        </w:rPr>
        <w:t xml:space="preserve">i</w:t>
      </w:r>
      <w:r>
        <w:rPr>
          <w:sz w:val="20"/>
        </w:rPr>
        <w:t xml:space="preserve"> - фактически достигнутое значение i-го показателя использования гранта на отчетную дату;</w:t>
      </w:r>
    </w:p>
    <w:p>
      <w:pPr>
        <w:pStyle w:val="0"/>
        <w:jc w:val="both"/>
      </w:pPr>
      <w:r>
        <w:rPr>
          <w:sz w:val="20"/>
        </w:rPr>
        <w:t xml:space="preserve">(в ред. </w:t>
      </w:r>
      <w:hyperlink w:history="0" r:id="rId44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S</w:t>
      </w:r>
      <w:r>
        <w:rPr>
          <w:sz w:val="20"/>
          <w:vertAlign w:val="subscript"/>
        </w:rPr>
        <w:t xml:space="preserve">i</w:t>
      </w:r>
      <w:r>
        <w:rPr>
          <w:sz w:val="20"/>
        </w:rPr>
        <w:t xml:space="preserve"> - плановое значение i-го показателя использования гранта, установленное соглашением.</w:t>
      </w:r>
    </w:p>
    <w:p>
      <w:pPr>
        <w:pStyle w:val="0"/>
        <w:jc w:val="both"/>
      </w:pPr>
      <w:r>
        <w:rPr>
          <w:sz w:val="20"/>
        </w:rPr>
        <w:t xml:space="preserve">(в ред. </w:t>
      </w:r>
      <w:hyperlink w:history="0" r:id="rId44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 течение 30 календарных дней со дня выявления указанных в </w:t>
      </w:r>
      <w:hyperlink w:history="0" w:anchor="P1498" w:tooltip="44. В случае нарушения получателем гранта условий, установленных при предоставлении гранта, выявленного в том числе по фактам проверок, проведенных главным распорядителем и уполномоченным органом государственного финансового контроля, грант подлежит возврату в областной бюджет.">
        <w:r>
          <w:rPr>
            <w:sz w:val="20"/>
            <w:color w:val="0000ff"/>
          </w:rPr>
          <w:t xml:space="preserve">абзацах первом</w:t>
        </w:r>
      </w:hyperlink>
      <w:r>
        <w:rPr>
          <w:sz w:val="20"/>
        </w:rPr>
        <w:t xml:space="preserve"> и </w:t>
      </w:r>
      <w:hyperlink w:history="0" w:anchor="P1499" w:tooltip="В случае недостижения значений результата предоставления гранта и характеристик результата предоставления гранта, выявленных по фактам проверок, проведенных министерством и уполномоченным органом государственного финансового контроля, грант подлежит возврату в областной бюджет в той части, в которой результат предоставления гранта не достигнут.">
        <w:r>
          <w:rPr>
            <w:sz w:val="20"/>
            <w:color w:val="0000ff"/>
          </w:rPr>
          <w:t xml:space="preserve">втором</w:t>
        </w:r>
      </w:hyperlink>
      <w:r>
        <w:rPr>
          <w:sz w:val="20"/>
        </w:rPr>
        <w:t xml:space="preserve"> настоящего пункта нарушений направляет организации письменное уведомление о возврате гранта (части гранта) в областной бюджет.</w:t>
      </w:r>
    </w:p>
    <w:p>
      <w:pPr>
        <w:pStyle w:val="0"/>
        <w:spacing w:before="200" w:line-rule="auto"/>
        <w:ind w:firstLine="540"/>
        <w:jc w:val="both"/>
      </w:pPr>
      <w:r>
        <w:rPr>
          <w:sz w:val="20"/>
        </w:rPr>
        <w:t xml:space="preserve">Организация обязана в течение 30 календарных дней со дня получения письменного уведомления от министерства о возврате гранта перечислить указанную сумму денежных средств в областной бюджет.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45. Гранты, не использованные организацией в сроки, предусмотренные соглашением, должны быть возвращены в областной бюджет в трехдневный срок с даты окончания срока использования гранта, установленного соглашением.</w:t>
      </w:r>
    </w:p>
    <w:p>
      <w:pPr>
        <w:pStyle w:val="0"/>
        <w:spacing w:before="200" w:line-rule="auto"/>
        <w:ind w:firstLine="540"/>
        <w:jc w:val="both"/>
      </w:pPr>
      <w:r>
        <w:rPr>
          <w:sz w:val="20"/>
        </w:rPr>
        <w:t xml:space="preserve">В случае невозврата грантов по истечении срока, указанного в настоящем пункте,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46. При реорганизации организации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pPr>
        <w:pStyle w:val="0"/>
        <w:spacing w:before="200" w:line-rule="auto"/>
        <w:ind w:firstLine="540"/>
        <w:jc w:val="both"/>
      </w:pPr>
      <w:r>
        <w:rPr>
          <w:sz w:val="20"/>
        </w:rPr>
        <w:t xml:space="preserve">При реорганизации организации в форме разделения, выделения, а также при ее ликвидации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организацией обязательствах, источником финансового обеспечения которых является грант, и возврате неиспользованного остатка гранта в областной бюджет Новосибирской области.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6</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1546" w:name="P1546"/>
    <w:bookmarkEnd w:id="1546"/>
    <w:p>
      <w:pPr>
        <w:pStyle w:val="2"/>
        <w:jc w:val="center"/>
      </w:pPr>
      <w:r>
        <w:rPr>
          <w:sz w:val="20"/>
        </w:rPr>
        <w:t xml:space="preserve">ПОРЯДОК</w:t>
      </w:r>
    </w:p>
    <w:p>
      <w:pPr>
        <w:pStyle w:val="2"/>
        <w:jc w:val="center"/>
      </w:pPr>
      <w:r>
        <w:rPr>
          <w:sz w:val="20"/>
        </w:rPr>
        <w:t xml:space="preserve">ПРЕДОСТАВЛЕНИЯ ГРАНТОВ В ФОРМЕ СУБСИДИЙ РЕСУРСНЫМ ЦЕНТРАМ</w:t>
      </w:r>
    </w:p>
    <w:p>
      <w:pPr>
        <w:pStyle w:val="2"/>
        <w:jc w:val="center"/>
      </w:pPr>
      <w:r>
        <w:rPr>
          <w:sz w:val="20"/>
        </w:rPr>
        <w:t xml:space="preserve">МУНИЦИПАЛЬНЫХ РАЙОНОВ, МУНИЦИПАЛЬНЫХ И ГОРОДСКИХ ОКРУГОВ</w:t>
      </w:r>
    </w:p>
    <w:p>
      <w:pPr>
        <w:pStyle w:val="2"/>
        <w:jc w:val="center"/>
      </w:pPr>
      <w:r>
        <w:rPr>
          <w:sz w:val="20"/>
        </w:rPr>
        <w:t xml:space="preserve">НОВОСИБИРСКОЙ ОБЛАСТИ ИЗ ОБЛАСТНОГО БЮДЖЕТА НОВОСИБИРСКОЙ</w:t>
      </w:r>
    </w:p>
    <w:p>
      <w:pPr>
        <w:pStyle w:val="2"/>
        <w:jc w:val="center"/>
      </w:pPr>
      <w:r>
        <w:rPr>
          <w:sz w:val="20"/>
        </w:rPr>
        <w:t xml:space="preserve">ОБЛАСТИ НА РЕАЛИЗАЦИЮ СОЦИАЛЬНО ЗНАЧИМЫХ ПРОЕКТОВ,</w:t>
      </w:r>
    </w:p>
    <w:p>
      <w:pPr>
        <w:pStyle w:val="2"/>
        <w:jc w:val="center"/>
      </w:pPr>
      <w:r>
        <w:rPr>
          <w:sz w:val="20"/>
        </w:rPr>
        <w:t xml:space="preserve">НАПРАВЛЕННЫХ НА РАЗВИТИЕ ОБЩЕСТВЕННЫХ ИНИЦИАТИВ И СОЦИАЛЬНО</w:t>
      </w:r>
    </w:p>
    <w:p>
      <w:pPr>
        <w:pStyle w:val="2"/>
        <w:jc w:val="center"/>
      </w:pPr>
      <w:r>
        <w:rPr>
          <w:sz w:val="20"/>
        </w:rPr>
        <w:t xml:space="preserve">ОРИЕНТИРОВАННЫХ НЕКОММЕРЧЕСКИХ ОРГАНИЗАЦИЙ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15.07.2024 </w:t>
            </w:r>
            <w:hyperlink w:history="0" r:id="rId445"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17.12.2024 </w:t>
            </w:r>
            <w:hyperlink w:history="0" r:id="rId446"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N 586-п</w:t>
              </w:r>
            </w:hyperlink>
            <w:r>
              <w:rPr>
                <w:sz w:val="20"/>
                <w:color w:val="392c69"/>
              </w:rPr>
              <w:t xml:space="preserve">, от 06.02.2025 </w:t>
            </w:r>
            <w:hyperlink w:history="0" r:id="rId44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N 48-п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Порядок предоставления грантов в форме субсидий ресурсным центрам муниципальных районов, муниципальных и городских округов Новосибирской области из областного бюджета Новосибирской области на реализацию социально значимых проектов, направленных на развитие общественных инициатив и социально ориентированных некоммерческих организаций (далее - Порядок), определяет цели, условия предоставления из областного бюджета Новосибирской области (далее - областной бюджет) грантов в форме субсидий (далее - гранты) ресурсным центрам муниципальных районов, муниципальных и городских округов Новосибирской области, направленных на развитие общественных инициатив и социально ориентированных некоммерческих организаций (далее - СО НКО), на реализацию социально значимых проектов (далее - проект ресурсного центра) при реализации мероприятий государственной </w:t>
      </w:r>
      <w:hyperlink w:history="0" w:anchor="P81" w:tooltip="ГОСУДАРСТВЕННАЯ ПРОГРАММА">
        <w:r>
          <w:rPr>
            <w:sz w:val="20"/>
            <w:color w:val="0000ff"/>
          </w:rPr>
          <w:t xml:space="preserve">программы</w:t>
        </w:r>
      </w:hyperlink>
      <w:r>
        <w:rPr>
          <w:sz w:val="20"/>
        </w:rPr>
        <w:t xml:space="preserve"> Новосибирской области "Развитие институтов региональной политики и гражданского общества в Новосибирской области" (далее - государственная программа).</w:t>
      </w:r>
    </w:p>
    <w:p>
      <w:pPr>
        <w:pStyle w:val="0"/>
        <w:jc w:val="both"/>
      </w:pPr>
      <w:r>
        <w:rPr>
          <w:sz w:val="20"/>
        </w:rPr>
        <w:t xml:space="preserve">(в ред. </w:t>
      </w:r>
      <w:hyperlink w:history="0" r:id="rId448" w:tooltip="Постановление Правительства Новосибирской области от 17.12.2024 N 586-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17.12.2024 N 586-п)</w:t>
      </w:r>
    </w:p>
    <w:p>
      <w:pPr>
        <w:pStyle w:val="0"/>
        <w:spacing w:before="200" w:line-rule="auto"/>
        <w:ind w:firstLine="540"/>
        <w:jc w:val="both"/>
      </w:pPr>
      <w:r>
        <w:rPr>
          <w:sz w:val="20"/>
        </w:rPr>
        <w:t xml:space="preserve">2. Порядок разработан в соответствии с </w:t>
      </w:r>
      <w:hyperlink w:history="0" r:id="rId449"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4 статьи 78.1</w:t>
        </w:r>
      </w:hyperlink>
      <w:r>
        <w:rPr>
          <w:sz w:val="20"/>
        </w:rPr>
        <w:t xml:space="preserve"> Бюджетного кодекса Российской Федерации, Федеральным </w:t>
      </w:r>
      <w:hyperlink w:history="0" r:id="rId450"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w:t>
      </w:r>
      <w:hyperlink w:history="0" r:id="rId451" w:tooltip="Постановление Правительства РФ от 25.10.2023 N 1782 (ред. от 16.11.2024) &quo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quot; {КонсультантПлюс}">
        <w:r>
          <w:rPr>
            <w:sz w:val="20"/>
            <w:color w:val="0000ff"/>
          </w:rPr>
          <w:t xml:space="preserve">постановлением</w:t>
        </w:r>
      </w:hyperlink>
      <w:r>
        <w:rPr>
          <w:sz w:val="20"/>
        </w:rP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w:history="0" r:id="rId452"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w:t>
      </w:r>
    </w:p>
    <w:bookmarkStart w:id="1560" w:name="P1560"/>
    <w:bookmarkEnd w:id="1560"/>
    <w:p>
      <w:pPr>
        <w:pStyle w:val="0"/>
        <w:spacing w:before="200" w:line-rule="auto"/>
        <w:ind w:firstLine="540"/>
        <w:jc w:val="both"/>
      </w:pPr>
      <w:r>
        <w:rPr>
          <w:sz w:val="20"/>
        </w:rPr>
        <w:t xml:space="preserve">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w:t>
      </w:r>
    </w:p>
    <w:p>
      <w:pPr>
        <w:pStyle w:val="0"/>
        <w:spacing w:before="200" w:line-rule="auto"/>
        <w:ind w:firstLine="540"/>
        <w:jc w:val="both"/>
      </w:pPr>
      <w:r>
        <w:rPr>
          <w:sz w:val="20"/>
        </w:rPr>
        <w:t xml:space="preserve">Информация о грантах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в порядке, установленном Министерством финансов Российской Федерации.</w:t>
      </w:r>
    </w:p>
    <w:bookmarkStart w:id="1562" w:name="P1562"/>
    <w:bookmarkEnd w:id="1562"/>
    <w:p>
      <w:pPr>
        <w:pStyle w:val="0"/>
        <w:spacing w:before="200" w:line-rule="auto"/>
        <w:ind w:firstLine="540"/>
        <w:jc w:val="both"/>
      </w:pPr>
      <w:r>
        <w:rPr>
          <w:sz w:val="20"/>
        </w:rPr>
        <w:t xml:space="preserve">4. Гранты предоставляются министерством в целях финансового обеспечения затрат при выполнении мероприятий, предусмотренных государственной программой, на реализацию проектов ресурсных центров.</w:t>
      </w:r>
    </w:p>
    <w:p>
      <w:pPr>
        <w:pStyle w:val="0"/>
        <w:spacing w:before="200" w:line-rule="auto"/>
        <w:ind w:firstLine="540"/>
        <w:jc w:val="both"/>
      </w:pPr>
      <w:r>
        <w:rPr>
          <w:sz w:val="20"/>
        </w:rPr>
        <w:t xml:space="preserve">За счет предоставленного гранта запрещается осуществлять расходы, напрямую не связанные с реализацией проекта ресурсного центра.</w:t>
      </w:r>
    </w:p>
    <w:bookmarkStart w:id="1564" w:name="P1564"/>
    <w:bookmarkEnd w:id="1564"/>
    <w:p>
      <w:pPr>
        <w:pStyle w:val="0"/>
        <w:spacing w:before="200" w:line-rule="auto"/>
        <w:ind w:firstLine="540"/>
        <w:jc w:val="both"/>
      </w:pPr>
      <w:r>
        <w:rPr>
          <w:sz w:val="20"/>
        </w:rPr>
        <w:t xml:space="preserve">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w:t>
      </w:r>
      <w:hyperlink w:history="0" r:id="rId453"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и </w:t>
      </w:r>
      <w:hyperlink w:history="0" r:id="rId454"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 за исключением государственных (муниципальных) учреждений (далее - ресурсные центры).</w:t>
      </w:r>
    </w:p>
    <w:p>
      <w:pPr>
        <w:pStyle w:val="0"/>
        <w:ind w:firstLine="540"/>
        <w:jc w:val="both"/>
      </w:pPr>
      <w:r>
        <w:rPr>
          <w:sz w:val="20"/>
        </w:rPr>
      </w:r>
    </w:p>
    <w:p>
      <w:pPr>
        <w:pStyle w:val="2"/>
        <w:outlineLvl w:val="1"/>
        <w:jc w:val="center"/>
      </w:pPr>
      <w:r>
        <w:rPr>
          <w:sz w:val="20"/>
        </w:rPr>
        <w:t xml:space="preserve">Порядок проведения отбора ресурсных</w:t>
      </w:r>
    </w:p>
    <w:p>
      <w:pPr>
        <w:pStyle w:val="2"/>
        <w:jc w:val="center"/>
      </w:pPr>
      <w:r>
        <w:rPr>
          <w:sz w:val="20"/>
        </w:rPr>
        <w:t xml:space="preserve">центров для предоставления грантов</w:t>
      </w:r>
    </w:p>
    <w:p>
      <w:pPr>
        <w:pStyle w:val="0"/>
        <w:ind w:firstLine="540"/>
        <w:jc w:val="both"/>
      </w:pPr>
      <w:r>
        <w:rPr>
          <w:sz w:val="20"/>
        </w:rPr>
      </w:r>
    </w:p>
    <w:p>
      <w:pPr>
        <w:pStyle w:val="0"/>
        <w:ind w:firstLine="540"/>
        <w:jc w:val="both"/>
      </w:pPr>
      <w:r>
        <w:rPr>
          <w:sz w:val="20"/>
        </w:rPr>
        <w:t xml:space="preserve">6. Гранты предоставляются по результатам отбора, организатором которого является министерство.</w:t>
      </w:r>
    </w:p>
    <w:p>
      <w:pPr>
        <w:pStyle w:val="0"/>
        <w:spacing w:before="200" w:line-rule="auto"/>
        <w:ind w:firstLine="540"/>
        <w:jc w:val="both"/>
      </w:pPr>
      <w:r>
        <w:rPr>
          <w:sz w:val="20"/>
        </w:rPr>
        <w:t xml:space="preserve">Отбор осуществляется на конкурентной основе путем проведения конкурса исходя из наилучших условий достижения результатов предоставления гранта.</w:t>
      </w:r>
    </w:p>
    <w:p>
      <w:pPr>
        <w:pStyle w:val="0"/>
        <w:spacing w:before="200" w:line-rule="auto"/>
        <w:ind w:firstLine="540"/>
        <w:jc w:val="both"/>
      </w:pPr>
      <w:r>
        <w:rPr>
          <w:sz w:val="20"/>
        </w:rPr>
        <w:t xml:space="preserve">Информация о проведении конкурса (объявление о проведении конкурса, его отмене, информация о ходе и результатах конкурса) размещается министерством в информационно-телекоммуникационной сети "Интернет" на едином портале,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не ранее размещения информации о гранте в соответствии с </w:t>
      </w:r>
      <w:hyperlink w:history="0" w:anchor="P1560" w:tooltip="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
        <w:r>
          <w:rPr>
            <w:sz w:val="20"/>
            <w:color w:val="0000ff"/>
          </w:rPr>
          <w:t xml:space="preserve">пунктом 3</w:t>
        </w:r>
      </w:hyperlink>
      <w:r>
        <w:rPr>
          <w:sz w:val="20"/>
        </w:rPr>
        <w:t xml:space="preserve"> Порядка.</w:t>
      </w:r>
    </w:p>
    <w:p>
      <w:pPr>
        <w:pStyle w:val="0"/>
        <w:jc w:val="both"/>
      </w:pPr>
      <w:r>
        <w:rPr>
          <w:sz w:val="20"/>
        </w:rPr>
        <w:t xml:space="preserve">(в ред. </w:t>
      </w:r>
      <w:hyperlink w:history="0" r:id="rId45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ресурсных центров осуществляется в государственной интегрированной информационной системе управления общественными финансами "Электронный бюджет" (в разделе предоставления мер финансовой государственной поддержки) (далее - система "Электронный бюджет").</w:t>
      </w:r>
    </w:p>
    <w:p>
      <w:pPr>
        <w:pStyle w:val="0"/>
        <w:jc w:val="both"/>
      </w:pPr>
      <w:r>
        <w:rPr>
          <w:sz w:val="20"/>
        </w:rPr>
        <w:t xml:space="preserve">(абзац введен </w:t>
      </w:r>
      <w:hyperlink w:history="0" r:id="rId45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Взаимодействие министерства, конкурсной комиссии для рассмотрения и оценки заявок ресурсных центров (далее - конкурсная комиссия) с ресурсными центрами осуществляется с использованием документов в электронной форме в системе "Электронный бюджет".</w:t>
      </w:r>
    </w:p>
    <w:p>
      <w:pPr>
        <w:pStyle w:val="0"/>
        <w:jc w:val="both"/>
      </w:pPr>
      <w:r>
        <w:rPr>
          <w:sz w:val="20"/>
        </w:rPr>
        <w:t xml:space="preserve">(абзац введен </w:t>
      </w:r>
      <w:hyperlink w:history="0" r:id="rId45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Доступ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0"/>
        <w:jc w:val="both"/>
      </w:pPr>
      <w:r>
        <w:rPr>
          <w:sz w:val="20"/>
        </w:rPr>
        <w:t xml:space="preserve">(абзац введен </w:t>
      </w:r>
      <w:hyperlink w:history="0" r:id="rId45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В целях проведения отбора ресурсных центров для предоставления грантов министерство:</w:t>
      </w:r>
    </w:p>
    <w:p>
      <w:pPr>
        <w:pStyle w:val="0"/>
        <w:spacing w:before="200" w:line-rule="auto"/>
        <w:ind w:firstLine="540"/>
        <w:jc w:val="both"/>
      </w:pPr>
      <w:r>
        <w:rPr>
          <w:sz w:val="20"/>
        </w:rPr>
        <w:t xml:space="preserve">1) издает приказ об объявлении конкурса,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направления конкурса;</w:t>
      </w:r>
    </w:p>
    <w:p>
      <w:pPr>
        <w:pStyle w:val="0"/>
        <w:spacing w:before="200" w:line-rule="auto"/>
        <w:ind w:firstLine="540"/>
        <w:jc w:val="both"/>
      </w:pPr>
      <w:r>
        <w:rPr>
          <w:sz w:val="20"/>
        </w:rPr>
        <w:t xml:space="preserve">абзац утратил силу. - </w:t>
      </w:r>
      <w:hyperlink w:history="0" r:id="rId45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дату начала подачи и окончания приема заявок на участие в конкурсе (далее - заявки);</w:t>
      </w:r>
    </w:p>
    <w:p>
      <w:pPr>
        <w:pStyle w:val="0"/>
        <w:spacing w:before="200" w:line-rule="auto"/>
        <w:ind w:firstLine="540"/>
        <w:jc w:val="both"/>
      </w:pPr>
      <w:r>
        <w:rPr>
          <w:sz w:val="20"/>
        </w:rPr>
        <w:t xml:space="preserve">абзац утратил силу. - </w:t>
      </w:r>
      <w:hyperlink w:history="0" r:id="rId46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срок реализации проектов ресурсными центрами;</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абзац утратил силу. - </w:t>
      </w:r>
      <w:hyperlink w:history="0" r:id="rId46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положение о конкурсной комиссии и состав конкурсной комиссии;</w:t>
      </w:r>
    </w:p>
    <w:p>
      <w:pPr>
        <w:pStyle w:val="0"/>
        <w:jc w:val="both"/>
      </w:pPr>
      <w:r>
        <w:rPr>
          <w:sz w:val="20"/>
        </w:rPr>
        <w:t xml:space="preserve">(в ред. </w:t>
      </w:r>
      <w:hyperlink w:history="0" r:id="rId46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устанавливает максимальный размер гранта;</w:t>
      </w:r>
    </w:p>
    <w:p>
      <w:pPr>
        <w:pStyle w:val="0"/>
        <w:spacing w:before="200" w:line-rule="auto"/>
        <w:ind w:firstLine="540"/>
        <w:jc w:val="both"/>
      </w:pPr>
      <w:r>
        <w:rPr>
          <w:sz w:val="20"/>
        </w:rPr>
        <w:t xml:space="preserve">2) размещает объявление о проведении конкурса в соответствии с </w:t>
      </w:r>
      <w:hyperlink w:history="0" w:anchor="P1611" w:tooltip="9. Объявление о проведении конкурса формируется в электронном виде в системе &quot;Электронный бюджет&quot;,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на едином портале не позднее чем за 30 календарных дней до окончания срока приема зая...">
        <w:r>
          <w:rPr>
            <w:sz w:val="20"/>
            <w:color w:val="0000ff"/>
          </w:rPr>
          <w:t xml:space="preserve">пунктом 9</w:t>
        </w:r>
      </w:hyperlink>
      <w:r>
        <w:rPr>
          <w:sz w:val="20"/>
        </w:rPr>
        <w:t xml:space="preserve"> Порядка;</w:t>
      </w:r>
    </w:p>
    <w:p>
      <w:pPr>
        <w:pStyle w:val="0"/>
        <w:jc w:val="both"/>
      </w:pPr>
      <w:r>
        <w:rPr>
          <w:sz w:val="20"/>
        </w:rPr>
        <w:t xml:space="preserve">(в ред. </w:t>
      </w:r>
      <w:hyperlink w:history="0" r:id="rId46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организует консультирование по вопросам подготовки заявок;</w:t>
      </w:r>
    </w:p>
    <w:p>
      <w:pPr>
        <w:pStyle w:val="0"/>
        <w:spacing w:before="200" w:line-rule="auto"/>
        <w:ind w:firstLine="540"/>
        <w:jc w:val="both"/>
      </w:pPr>
      <w:r>
        <w:rPr>
          <w:sz w:val="20"/>
        </w:rPr>
        <w:t xml:space="preserve">4) утратил силу. - </w:t>
      </w:r>
      <w:hyperlink w:history="0" r:id="rId46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осуществляет проверку поданных заявок в соответствии с </w:t>
      </w:r>
      <w:hyperlink w:history="0" w:anchor="P1679" w:tooltip="18.1. Проверка ресурсных центров на соответствие требованиям, указанным в пункте 12 Порядка, осуществляется автоматически в системе &quot;Электронный бюджет&quot;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r>
          <w:rPr>
            <w:sz w:val="20"/>
            <w:color w:val="0000ff"/>
          </w:rPr>
          <w:t xml:space="preserve">пунктами 18.1</w:t>
        </w:r>
      </w:hyperlink>
      <w:r>
        <w:rPr>
          <w:sz w:val="20"/>
        </w:rPr>
        <w:t xml:space="preserve">, </w:t>
      </w:r>
      <w:hyperlink w:history="0" w:anchor="P1682" w:tooltip="19. Министерство на стадии проверки документов ресурсных центров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
        <w:r>
          <w:rPr>
            <w:sz w:val="20"/>
            <w:color w:val="0000ff"/>
          </w:rPr>
          <w:t xml:space="preserve">19</w:t>
        </w:r>
      </w:hyperlink>
      <w:r>
        <w:rPr>
          <w:sz w:val="20"/>
        </w:rPr>
        <w:t xml:space="preserve"> Порядка;</w:t>
      </w:r>
    </w:p>
    <w:p>
      <w:pPr>
        <w:pStyle w:val="0"/>
        <w:jc w:val="both"/>
      </w:pPr>
      <w:r>
        <w:rPr>
          <w:sz w:val="20"/>
        </w:rPr>
        <w:t xml:space="preserve">(в ред. </w:t>
      </w:r>
      <w:hyperlink w:history="0" r:id="rId46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6) утратил силу. - </w:t>
      </w:r>
      <w:hyperlink w:history="0" r:id="rId46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организует работу конкурсной комиссии;</w:t>
      </w:r>
    </w:p>
    <w:p>
      <w:pPr>
        <w:pStyle w:val="0"/>
        <w:spacing w:before="200" w:line-rule="auto"/>
        <w:ind w:firstLine="540"/>
        <w:jc w:val="both"/>
      </w:pPr>
      <w:r>
        <w:rPr>
          <w:sz w:val="20"/>
        </w:rPr>
        <w:t xml:space="preserve">8) на основании решения конкурсной комиссии издает приказ о результатах конкурса;</w:t>
      </w:r>
    </w:p>
    <w:p>
      <w:pPr>
        <w:pStyle w:val="0"/>
        <w:spacing w:before="200" w:line-rule="auto"/>
        <w:ind w:firstLine="540"/>
        <w:jc w:val="both"/>
      </w:pPr>
      <w:r>
        <w:rPr>
          <w:sz w:val="20"/>
        </w:rPr>
        <w:t xml:space="preserve">9) заключает соглашения о предоставлении грантов (далее - соглашения).</w:t>
      </w:r>
    </w:p>
    <w:bookmarkStart w:id="1602" w:name="P1602"/>
    <w:bookmarkEnd w:id="1602"/>
    <w:p>
      <w:pPr>
        <w:pStyle w:val="0"/>
        <w:spacing w:before="200" w:line-rule="auto"/>
        <w:ind w:firstLine="540"/>
        <w:jc w:val="both"/>
      </w:pPr>
      <w:r>
        <w:rPr>
          <w:sz w:val="20"/>
        </w:rPr>
        <w:t xml:space="preserve">8. Не позднее чем за два рабочих дня до даты окончания срока подачи заявок ресурсными центрами министерство вправе отменить конкурс путем издания соответствующего приказа.</w:t>
      </w:r>
    </w:p>
    <w:p>
      <w:pPr>
        <w:pStyle w:val="0"/>
        <w:spacing w:before="200" w:line-rule="auto"/>
        <w:ind w:firstLine="540"/>
        <w:jc w:val="both"/>
      </w:pPr>
      <w:r>
        <w:rPr>
          <w:sz w:val="20"/>
        </w:rPr>
        <w:t xml:space="preserve">Министерство принимает решение об отмене конкурса в случае уменьшения или отзыва ранее доведенных лимитов бюджетных ассигнований на предоставление грантов, установленных министерству на текущий финансовый год в пределах лимитов бюджетных обязательств в соответствии со сводной бюджетной росписью и кассовым планом областного бюджета, приводящих к невозможности предоставления грантов.</w:t>
      </w:r>
    </w:p>
    <w:p>
      <w:pPr>
        <w:pStyle w:val="0"/>
        <w:spacing w:before="200" w:line-rule="auto"/>
        <w:ind w:firstLine="540"/>
        <w:jc w:val="both"/>
      </w:pPr>
      <w:r>
        <w:rPr>
          <w:sz w:val="20"/>
        </w:rPr>
        <w:t xml:space="preserve">Ресурсные центры, подавшие заявки, информируются об отмене проведения конкурса в системе "Электронный бюджет", на официальном сайте министерства.</w:t>
      </w:r>
    </w:p>
    <w:p>
      <w:pPr>
        <w:pStyle w:val="0"/>
        <w:jc w:val="both"/>
      </w:pPr>
      <w:r>
        <w:rPr>
          <w:sz w:val="20"/>
        </w:rPr>
        <w:t xml:space="preserve">(в ред. </w:t>
      </w:r>
      <w:hyperlink w:history="0" r:id="rId46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Конкурс считается отмененным со дня размещения объявления о его отмене на едином портале.</w:t>
      </w:r>
    </w:p>
    <w:p>
      <w:pPr>
        <w:pStyle w:val="0"/>
        <w:jc w:val="both"/>
      </w:pPr>
      <w:r>
        <w:rPr>
          <w:sz w:val="20"/>
        </w:rPr>
        <w:t xml:space="preserve">(в ред. </w:t>
      </w:r>
      <w:hyperlink w:history="0" r:id="rId46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После окончания срока отмены конкурса в соответствии с </w:t>
      </w:r>
      <w:hyperlink w:history="0" w:anchor="P1602" w:tooltip="8. Не позднее чем за два рабочих дня до даты окончания срока подачи заявок ресурсными центрами министерство вправе отменить конкурс путем издания соответствующего приказа.">
        <w:r>
          <w:rPr>
            <w:sz w:val="20"/>
            <w:color w:val="0000ff"/>
          </w:rPr>
          <w:t xml:space="preserve">абзацем первым</w:t>
        </w:r>
      </w:hyperlink>
      <w:r>
        <w:rPr>
          <w:sz w:val="20"/>
        </w:rPr>
        <w:t xml:space="preserve"> настоящего пункта и до заключения соглашения с победителем (победителями) конкурса министерство может отменить конкурс только в случае возникновения обстоятельств непреодолимой силы в соответствии с </w:t>
      </w:r>
      <w:hyperlink w:history="0" r:id="rId469" w:tooltip="&quot;Гражданский кодекс Российской Федерации (часть первая)&quot; от 30.11.1994 N 51-ФЗ (ред. от 08.08.2024, с изм. от 31.10.2024) {КонсультантПлюс}">
        <w:r>
          <w:rPr>
            <w:sz w:val="20"/>
            <w:color w:val="0000ff"/>
          </w:rPr>
          <w:t xml:space="preserve">пунктом 3 статьи 401</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Объявление об отмене конкурса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главного распорядителя бюджетных средств и содержит информацию о причинах отмены конкурса.</w:t>
      </w:r>
    </w:p>
    <w:p>
      <w:pPr>
        <w:pStyle w:val="0"/>
        <w:jc w:val="both"/>
      </w:pPr>
      <w:r>
        <w:rPr>
          <w:sz w:val="20"/>
        </w:rPr>
        <w:t xml:space="preserve">(абзац введен </w:t>
      </w:r>
      <w:hyperlink w:history="0" r:id="rId47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611" w:name="P1611"/>
    <w:bookmarkEnd w:id="1611"/>
    <w:p>
      <w:pPr>
        <w:pStyle w:val="0"/>
        <w:spacing w:before="200" w:line-rule="auto"/>
        <w:ind w:firstLine="540"/>
        <w:jc w:val="both"/>
      </w:pPr>
      <w:r>
        <w:rPr>
          <w:sz w:val="20"/>
        </w:rPr>
        <w:t xml:space="preserve">9. Объявление о проведении конкурса формируется в электронном виде в системе "Электронный бюджет",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на едином портале не позднее чем за 30 календарных дней до окончания срока приема заявок.</w:t>
      </w:r>
    </w:p>
    <w:p>
      <w:pPr>
        <w:pStyle w:val="0"/>
        <w:jc w:val="both"/>
      </w:pPr>
      <w:r>
        <w:rPr>
          <w:sz w:val="20"/>
        </w:rPr>
        <w:t xml:space="preserve">(в ред. </w:t>
      </w:r>
      <w:hyperlink w:history="0" r:id="rId47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 Объявление о проведении конкурса содержит:</w:t>
      </w:r>
    </w:p>
    <w:p>
      <w:pPr>
        <w:pStyle w:val="0"/>
        <w:spacing w:before="200" w:line-rule="auto"/>
        <w:ind w:firstLine="540"/>
        <w:jc w:val="both"/>
      </w:pPr>
      <w:r>
        <w:rPr>
          <w:sz w:val="20"/>
        </w:rPr>
        <w:t xml:space="preserve">1) сроки проведения конкурса;</w:t>
      </w:r>
    </w:p>
    <w:p>
      <w:pPr>
        <w:pStyle w:val="0"/>
        <w:spacing w:before="200" w:line-rule="auto"/>
        <w:ind w:firstLine="540"/>
        <w:jc w:val="both"/>
      </w:pPr>
      <w:r>
        <w:rPr>
          <w:sz w:val="20"/>
        </w:rPr>
        <w:t xml:space="preserve">2) дату начала подачи и окончания приема предложений (заявок) ресурсных центров, которая не может быть ранее 30-го календарного дня, следующего за днем размещения объявления о проведении конкурса;</w:t>
      </w:r>
    </w:p>
    <w:p>
      <w:pPr>
        <w:pStyle w:val="0"/>
        <w:spacing w:before="200" w:line-rule="auto"/>
        <w:ind w:firstLine="540"/>
        <w:jc w:val="both"/>
      </w:pPr>
      <w:r>
        <w:rPr>
          <w:sz w:val="20"/>
        </w:rPr>
        <w:t xml:space="preserve">3) наименование, место нахождения, почтовый адрес, адрес электронной почты министерства;</w:t>
      </w:r>
    </w:p>
    <w:p>
      <w:pPr>
        <w:pStyle w:val="0"/>
        <w:spacing w:before="200" w:line-rule="auto"/>
        <w:ind w:firstLine="540"/>
        <w:jc w:val="both"/>
      </w:pPr>
      <w:r>
        <w:rPr>
          <w:sz w:val="20"/>
        </w:rPr>
        <w:t xml:space="preserve">4) результаты предоставления гранта, их характеристики (показатели, необходимые для достижения результата предоставления гранта) в соответствии с </w:t>
      </w:r>
      <w:hyperlink w:history="0" w:anchor="P1793" w:tooltip="28. Результатом, в целях достижения которого предоставляется грант (далее - результат предоставления гранта), является реализованный проект ресурсного центра.">
        <w:r>
          <w:rPr>
            <w:sz w:val="20"/>
            <w:color w:val="0000ff"/>
          </w:rPr>
          <w:t xml:space="preserve">пунктом 28</w:t>
        </w:r>
      </w:hyperlink>
      <w:r>
        <w:rPr>
          <w:sz w:val="20"/>
        </w:rPr>
        <w:t xml:space="preserve"> Порядка;</w:t>
      </w:r>
    </w:p>
    <w:p>
      <w:pPr>
        <w:pStyle w:val="0"/>
        <w:jc w:val="both"/>
      </w:pPr>
      <w:r>
        <w:rPr>
          <w:sz w:val="20"/>
        </w:rPr>
        <w:t xml:space="preserve">(в ред. </w:t>
      </w:r>
      <w:hyperlink w:history="0" r:id="rId47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доменное имя и (или) сетевой адрес и (или) указатель страниц сайта в сети "Интернет";</w:t>
      </w:r>
    </w:p>
    <w:p>
      <w:pPr>
        <w:pStyle w:val="0"/>
        <w:spacing w:before="200" w:line-rule="auto"/>
        <w:ind w:firstLine="540"/>
        <w:jc w:val="both"/>
      </w:pPr>
      <w:r>
        <w:rPr>
          <w:sz w:val="20"/>
        </w:rPr>
        <w:t xml:space="preserve">6) требования к ресурсным центрам в соответствии с </w:t>
      </w:r>
      <w:hyperlink w:history="0" w:anchor="P1637" w:tooltip="12. Ресурсный центр должен соответствовать следующим требованиям:">
        <w:r>
          <w:rPr>
            <w:sz w:val="20"/>
            <w:color w:val="0000ff"/>
          </w:rPr>
          <w:t xml:space="preserve">пунктом 12</w:t>
        </w:r>
      </w:hyperlink>
      <w:r>
        <w:rPr>
          <w:sz w:val="20"/>
        </w:rPr>
        <w:t xml:space="preserve"> Порядка и перечню документов, представляемых ресурсными центрами для подтверждения их соответствия указанным требованиям;</w:t>
      </w:r>
    </w:p>
    <w:p>
      <w:pPr>
        <w:pStyle w:val="0"/>
        <w:spacing w:before="200" w:line-rule="auto"/>
        <w:ind w:firstLine="540"/>
        <w:jc w:val="both"/>
      </w:pPr>
      <w:r>
        <w:rPr>
          <w:sz w:val="20"/>
        </w:rPr>
        <w:t xml:space="preserve">7) порядок подачи заявок ресурсными центрами и требования, предъявляемые к форме и содержанию заявок, подаваемых ресурсными центрами, в соответствии с </w:t>
      </w:r>
      <w:hyperlink w:history="0" w:anchor="P1648" w:tooltip="13. Заявка формируется ресурсными центр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пунктами 13</w:t>
        </w:r>
      </w:hyperlink>
      <w:r>
        <w:rPr>
          <w:sz w:val="20"/>
        </w:rPr>
        <w:t xml:space="preserve"> - </w:t>
      </w:r>
      <w:hyperlink w:history="0" w:anchor="P1659"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8) порядок отзыва заявок ресурсными центрами, порядок возврата заявок ресурсными центрами на доработку, определяющий в том числе основания для возврата заявок ресурсным центрам на доработку, порядок внесения изменений в заявки ресурсными центрами в соответствии с </w:t>
      </w:r>
      <w:hyperlink w:history="0" w:anchor="P1665" w:tooltip="16. Заявка может быть отозвана ресурсным центром в любое время до даты окончания проведения конкурса.">
        <w:r>
          <w:rPr>
            <w:sz w:val="20"/>
            <w:color w:val="0000ff"/>
          </w:rPr>
          <w:t xml:space="preserve">пунктом 16</w:t>
        </w:r>
      </w:hyperlink>
      <w:r>
        <w:rPr>
          <w:sz w:val="20"/>
        </w:rPr>
        <w:t xml:space="preserve"> Порядка, порядок отклонения заявок в соответствии с </w:t>
      </w:r>
      <w:hyperlink w:history="0" w:anchor="P1700" w:tooltip="20. Основаниями для отклонения заявки на стадии рассмотрения и оценки заявок являются:">
        <w:r>
          <w:rPr>
            <w:sz w:val="20"/>
            <w:color w:val="0000ff"/>
          </w:rPr>
          <w:t xml:space="preserve">пунктом 20</w:t>
        </w:r>
      </w:hyperlink>
      <w:r>
        <w:rPr>
          <w:sz w:val="20"/>
        </w:rPr>
        <w:t xml:space="preserve"> Порядка;</w:t>
      </w:r>
    </w:p>
    <w:p>
      <w:pPr>
        <w:pStyle w:val="0"/>
        <w:spacing w:before="200" w:line-rule="auto"/>
        <w:ind w:firstLine="540"/>
        <w:jc w:val="both"/>
      </w:pPr>
      <w:r>
        <w:rPr>
          <w:sz w:val="20"/>
        </w:rPr>
        <w:t xml:space="preserve">9) правила рассмотрения и оценки заявок, порядок отклонения заявок ресурсных центров в соответствии с </w:t>
      </w:r>
      <w:hyperlink w:history="0" w:anchor="P1676" w:tooltip="18. Доступ министерства, конкурсной комиссии к заявкам ресурсных центров открывается в системе &quot;Электронный бюджет&quot; со дня начала срока подачи заявок.">
        <w:r>
          <w:rPr>
            <w:sz w:val="20"/>
            <w:color w:val="0000ff"/>
          </w:rPr>
          <w:t xml:space="preserve">пунктами 18</w:t>
        </w:r>
      </w:hyperlink>
      <w:r>
        <w:rPr>
          <w:sz w:val="20"/>
        </w:rPr>
        <w:t xml:space="preserve"> - </w:t>
      </w:r>
      <w:hyperlink w:history="0" w:anchor="P1700" w:tooltip="20. Основаниями для отклонения заявки на стадии рассмотрения и оценки заявок являются:">
        <w:r>
          <w:rPr>
            <w:sz w:val="20"/>
            <w:color w:val="0000ff"/>
          </w:rPr>
          <w:t xml:space="preserve">20</w:t>
        </w:r>
      </w:hyperlink>
      <w:r>
        <w:rPr>
          <w:sz w:val="20"/>
        </w:rPr>
        <w:t xml:space="preserve">, </w:t>
      </w:r>
      <w:hyperlink w:history="0" w:anchor="P1712"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22</w:t>
        </w:r>
      </w:hyperlink>
      <w:r>
        <w:rPr>
          <w:sz w:val="20"/>
        </w:rPr>
        <w:t xml:space="preserve">, </w:t>
      </w:r>
      <w:hyperlink w:history="0" w:anchor="P1781" w:tooltip="25. В течение пяти рабочих дней со дня размещения на едином портале протокола подведения итогов конкурса издает приказ о результатах конкурса с указанием ресурсных центров - победителей конкурса и размера предоставляемых им грантов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w:r>
          <w:rPr>
            <w:sz w:val="20"/>
            <w:color w:val="0000ff"/>
          </w:rPr>
          <w:t xml:space="preserve">25</w:t>
        </w:r>
      </w:hyperlink>
      <w:r>
        <w:rPr>
          <w:sz w:val="20"/>
        </w:rPr>
        <w:t xml:space="preserve"> Порядка;</w:t>
      </w:r>
    </w:p>
    <w:p>
      <w:pPr>
        <w:pStyle w:val="0"/>
        <w:spacing w:before="200" w:line-rule="auto"/>
        <w:ind w:firstLine="540"/>
        <w:jc w:val="both"/>
      </w:pPr>
      <w:r>
        <w:rPr>
          <w:sz w:val="20"/>
        </w:rPr>
        <w:t xml:space="preserve">10) порядок предоставления ресурсным центрам разъяснений положений объявления о проведении конкурса, даты начала и окончания срока такого предоставления;</w:t>
      </w:r>
    </w:p>
    <w:p>
      <w:pPr>
        <w:pStyle w:val="0"/>
        <w:jc w:val="both"/>
      </w:pPr>
      <w:r>
        <w:rPr>
          <w:sz w:val="20"/>
        </w:rPr>
        <w:t xml:space="preserve">(в ред. </w:t>
      </w:r>
      <w:hyperlink w:history="0" r:id="rId47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информацию об объеме распределяемого гранта в рамках конкурса, о порядке расчета размера гранта в соответствии с </w:t>
      </w:r>
      <w:hyperlink w:history="0" w:anchor="P1792" w:tooltip="27. Размер гранта определяется в соответствии с запрашиваемым размером гранта, указанным в заявке, но не более максимального размера гранта, установленного в объявлении о проведении конкурса.">
        <w:r>
          <w:rPr>
            <w:sz w:val="20"/>
            <w:color w:val="0000ff"/>
          </w:rPr>
          <w:t xml:space="preserve">пунктом 27</w:t>
        </w:r>
      </w:hyperlink>
      <w:r>
        <w:rPr>
          <w:sz w:val="20"/>
        </w:rPr>
        <w:t xml:space="preserve"> Порядка, правилах распределения гранта в соответствии с </w:t>
      </w:r>
      <w:hyperlink w:history="0" w:anchor="P1712"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пунктом 22</w:t>
        </w:r>
      </w:hyperlink>
      <w:r>
        <w:rPr>
          <w:sz w:val="20"/>
        </w:rPr>
        <w:t xml:space="preserve"> Порядка, максимальном размере гранта, установленном приказом министерства;</w:t>
      </w:r>
    </w:p>
    <w:p>
      <w:pPr>
        <w:pStyle w:val="0"/>
        <w:spacing w:before="200" w:line-rule="auto"/>
        <w:ind w:firstLine="540"/>
        <w:jc w:val="both"/>
      </w:pPr>
      <w:r>
        <w:rPr>
          <w:sz w:val="20"/>
        </w:rPr>
        <w:t xml:space="preserve">12) срок, в течение которого ресурсные центры - победители конкурса должны подписать соглашение;</w:t>
      </w:r>
    </w:p>
    <w:p>
      <w:pPr>
        <w:pStyle w:val="0"/>
        <w:spacing w:before="200" w:line-rule="auto"/>
        <w:ind w:firstLine="540"/>
        <w:jc w:val="both"/>
      </w:pPr>
      <w:r>
        <w:rPr>
          <w:sz w:val="20"/>
        </w:rPr>
        <w:t xml:space="preserve">13) условия признания ресурсного центра - победителя конкурса уклонившимся от заключения соглашения;</w:t>
      </w:r>
    </w:p>
    <w:p>
      <w:pPr>
        <w:pStyle w:val="0"/>
        <w:spacing w:before="200" w:line-rule="auto"/>
        <w:ind w:firstLine="540"/>
        <w:jc w:val="both"/>
      </w:pPr>
      <w:r>
        <w:rPr>
          <w:sz w:val="20"/>
        </w:rPr>
        <w:t xml:space="preserve">14) сроки размещения протокола подведения итогов конкурса на едином портале и на официальном сайте министерства в сети "Интернет", которые не могут быть позднее 14-го календарного дня, следующего за днем определения победителя конкурса.</w:t>
      </w:r>
    </w:p>
    <w:p>
      <w:pPr>
        <w:pStyle w:val="0"/>
        <w:jc w:val="both"/>
      </w:pPr>
      <w:r>
        <w:rPr>
          <w:sz w:val="20"/>
        </w:rPr>
        <w:t xml:space="preserve">(пп. 14 в ред. </w:t>
      </w:r>
      <w:hyperlink w:history="0" r:id="rId47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Министерство не позднее наступления даты окончания приема заявок может внести изменения в объявление о проведении конкурса с соблюдением следующих условий:</w:t>
      </w:r>
    </w:p>
    <w:p>
      <w:pPr>
        <w:pStyle w:val="0"/>
        <w:spacing w:before="200" w:line-rule="auto"/>
        <w:ind w:firstLine="540"/>
        <w:jc w:val="both"/>
      </w:pPr>
      <w:r>
        <w:rPr>
          <w:sz w:val="20"/>
        </w:rPr>
        <w:t xml:space="preserve">срок подачи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10 календарных дней;</w:t>
      </w:r>
    </w:p>
    <w:p>
      <w:pPr>
        <w:pStyle w:val="0"/>
        <w:spacing w:before="200" w:line-rule="auto"/>
        <w:ind w:firstLine="540"/>
        <w:jc w:val="both"/>
      </w:pPr>
      <w:r>
        <w:rPr>
          <w:sz w:val="20"/>
        </w:rPr>
        <w:t xml:space="preserve">при внесении изменений в объявление о проведении конкурса не допускается изменение способа отбора;</w:t>
      </w:r>
    </w:p>
    <w:p>
      <w:pPr>
        <w:pStyle w:val="0"/>
        <w:spacing w:before="200" w:line-rule="auto"/>
        <w:ind w:firstLine="540"/>
        <w:jc w:val="both"/>
      </w:pPr>
      <w:r>
        <w:rPr>
          <w:sz w:val="20"/>
        </w:rPr>
        <w:t xml:space="preserve">в случае внесения изменений в объявление о проведении конкурса после наступления даты начала приема заявок в объявление о проведении конкурса включается положение, предусматривающее право ресурсного центра на внесение изменений в заявки;</w:t>
      </w:r>
    </w:p>
    <w:p>
      <w:pPr>
        <w:pStyle w:val="0"/>
        <w:spacing w:before="200" w:line-rule="auto"/>
        <w:ind w:firstLine="540"/>
        <w:jc w:val="both"/>
      </w:pPr>
      <w:r>
        <w:rPr>
          <w:sz w:val="20"/>
        </w:rPr>
        <w:t xml:space="preserve">ресурсные центры, подавшие заявку, уведомляются о внесении изменений в объявление о проведении конкурса не позднее дня, следующего за днем внесения изменений в объявление о проведении конкурса, с использованием системы "Электронный бюджет".</w:t>
      </w:r>
    </w:p>
    <w:p>
      <w:pPr>
        <w:pStyle w:val="0"/>
        <w:jc w:val="both"/>
      </w:pPr>
      <w:r>
        <w:rPr>
          <w:sz w:val="20"/>
        </w:rPr>
        <w:t xml:space="preserve">(п. 11 в ред. </w:t>
      </w:r>
      <w:hyperlink w:history="0" r:id="rId47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637" w:name="P1637"/>
    <w:bookmarkEnd w:id="1637"/>
    <w:p>
      <w:pPr>
        <w:pStyle w:val="0"/>
        <w:spacing w:before="200" w:line-rule="auto"/>
        <w:ind w:firstLine="540"/>
        <w:jc w:val="both"/>
      </w:pPr>
      <w:r>
        <w:rPr>
          <w:sz w:val="20"/>
        </w:rPr>
        <w:t xml:space="preserve">12. Ресурсный центр должен соответствовать следующим требованиям:</w:t>
      </w:r>
    </w:p>
    <w:p>
      <w:pPr>
        <w:pStyle w:val="0"/>
        <w:spacing w:before="200" w:line-rule="auto"/>
        <w:ind w:firstLine="540"/>
        <w:jc w:val="both"/>
      </w:pPr>
      <w:r>
        <w:rPr>
          <w:sz w:val="20"/>
        </w:rPr>
        <w:t xml:space="preserve">1) на дату подачи заявки:</w:t>
      </w:r>
    </w:p>
    <w:p>
      <w:pPr>
        <w:pStyle w:val="0"/>
        <w:spacing w:before="200" w:line-rule="auto"/>
        <w:ind w:firstLine="540"/>
        <w:jc w:val="both"/>
      </w:pPr>
      <w:r>
        <w:rPr>
          <w:sz w:val="20"/>
        </w:rPr>
        <w:t xml:space="preserve">а) ресурсный центр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pPr>
        <w:pStyle w:val="0"/>
        <w:spacing w:before="200" w:line-rule="auto"/>
        <w:ind w:firstLine="540"/>
        <w:jc w:val="both"/>
      </w:pPr>
      <w:r>
        <w:rPr>
          <w:sz w:val="20"/>
        </w:rPr>
        <w:t xml:space="preserve">б) ресурсный центр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pPr>
        <w:pStyle w:val="0"/>
        <w:spacing w:before="200" w:line-rule="auto"/>
        <w:ind w:firstLine="540"/>
        <w:jc w:val="both"/>
      </w:pPr>
      <w:r>
        <w:rPr>
          <w:sz w:val="20"/>
        </w:rPr>
        <w:t xml:space="preserve">в) ресурсный центр не находится в составляемых в рамках реализации полномочий, предусмотренных </w:t>
      </w:r>
      <w:hyperlink w:history="0" r:id="rId476" w:tooltip="&quot;Раздел I. Понятие международного права, его сущность и роль в международных отношениях, политике и дипломатии. 1. Устав Организации Объединенных Наций&quot; (Принят в г. Сан-Франциско 26.06.1945) (с изм. и доп. от 20.12.1971) {КонсультантПлюс}">
        <w:r>
          <w:rPr>
            <w:sz w:val="20"/>
            <w:color w:val="0000ff"/>
          </w:rPr>
          <w:t xml:space="preserve">главой VII</w:t>
        </w:r>
      </w:hyperlink>
      <w:r>
        <w:rPr>
          <w:sz w:val="20"/>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pPr>
        <w:pStyle w:val="0"/>
        <w:spacing w:before="200" w:line-rule="auto"/>
        <w:ind w:firstLine="540"/>
        <w:jc w:val="both"/>
      </w:pPr>
      <w:r>
        <w:rPr>
          <w:sz w:val="20"/>
        </w:rPr>
        <w:t xml:space="preserve">г) ресурсный центр не получает средства из областного бюджета на основании иных нормативных правовых актов Новосибирской области на цели, установленные </w:t>
      </w:r>
      <w:hyperlink w:history="0" w:anchor="P1562" w:tooltip="4. Гранты предоставляются министерством в целях финансового обеспечения затрат при выполнении мероприятий, предусмотренных государственной программой, на реализацию проектов ресурсных центров.">
        <w:r>
          <w:rPr>
            <w:sz w:val="20"/>
            <w:color w:val="0000ff"/>
          </w:rPr>
          <w:t xml:space="preserve">пунктом 4</w:t>
        </w:r>
      </w:hyperlink>
      <w:r>
        <w:rPr>
          <w:sz w:val="20"/>
        </w:rPr>
        <w:t xml:space="preserve"> Порядка;</w:t>
      </w:r>
    </w:p>
    <w:p>
      <w:pPr>
        <w:pStyle w:val="0"/>
        <w:spacing w:before="200" w:line-rule="auto"/>
        <w:ind w:firstLine="540"/>
        <w:jc w:val="both"/>
      </w:pPr>
      <w:r>
        <w:rPr>
          <w:sz w:val="20"/>
        </w:rPr>
        <w:t xml:space="preserve">д) ресурсный центр не является иностранным агентом в соответствии с Федеральным </w:t>
      </w:r>
      <w:hyperlink w:history="0" r:id="rId477"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законом</w:t>
        </w:r>
      </w:hyperlink>
      <w:r>
        <w:rPr>
          <w:sz w:val="20"/>
        </w:rPr>
        <w:t xml:space="preserve"> от 14.07.2022 N 255-ФЗ "О контроле за деятельностью лиц, находящихся под иностранным влиянием";</w:t>
      </w:r>
    </w:p>
    <w:p>
      <w:pPr>
        <w:pStyle w:val="0"/>
        <w:spacing w:before="200" w:line-rule="auto"/>
        <w:ind w:firstLine="540"/>
        <w:jc w:val="both"/>
      </w:pPr>
      <w:r>
        <w:rPr>
          <w:sz w:val="20"/>
        </w:rPr>
        <w:t xml:space="preserve">е) у ресурсного центра отсутствует просроченная задолженность по возврату в областной бюджет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pPr>
        <w:pStyle w:val="0"/>
        <w:spacing w:before="200" w:line-rule="auto"/>
        <w:ind w:firstLine="540"/>
        <w:jc w:val="both"/>
      </w:pPr>
      <w:r>
        <w:rPr>
          <w:sz w:val="20"/>
        </w:rPr>
        <w:t xml:space="preserve">ж) ресурсный центр не находится в процессе реорганизации (за исключением реорганизации в форме присоединения организации другого юридического лица), ликвидации, в отношении него не введена процедура банкротства, деятельность ресурсного центра не приостановлена в порядке, предусмотренном законодательством Российской Федерации;</w:t>
      </w:r>
    </w:p>
    <w:p>
      <w:pPr>
        <w:pStyle w:val="0"/>
        <w:spacing w:before="200" w:line-rule="auto"/>
        <w:ind w:firstLine="540"/>
        <w:jc w:val="both"/>
      </w:pPr>
      <w:r>
        <w:rPr>
          <w:sz w:val="20"/>
        </w:rPr>
        <w:t xml:space="preserve">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ресурсного центра;</w:t>
      </w:r>
    </w:p>
    <w:p>
      <w:pPr>
        <w:pStyle w:val="0"/>
        <w:spacing w:before="200" w:line-rule="auto"/>
        <w:ind w:firstLine="540"/>
        <w:jc w:val="both"/>
      </w:pPr>
      <w:r>
        <w:rPr>
          <w:sz w:val="20"/>
        </w:rPr>
        <w:t xml:space="preserve">2) на дату не ранее начала срока подачи заявки у ресурсного центра на едином налоговом счете отсутствует или не превышает размер, определенный </w:t>
      </w:r>
      <w:hyperlink w:history="0" r:id="rId478" w:tooltip="&quot;Налоговый кодекс Российской Федерации (часть первая)&quot; от 31.07.1998 N 146-ФЗ (ред. от 29.11.2024, с изм. от 21.01.2025) (с изм. и доп., вступ. в силу с 05.02.2025) {КонсультантПлюс}">
        <w:r>
          <w:rPr>
            <w:sz w:val="20"/>
            <w:color w:val="0000ff"/>
          </w:rPr>
          <w:t xml:space="preserve">пунктом 3 статьи 47</w:t>
        </w:r>
      </w:hyperlink>
      <w:r>
        <w:rPr>
          <w:sz w:val="20"/>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bookmarkStart w:id="1648" w:name="P1648"/>
    <w:bookmarkEnd w:id="1648"/>
    <w:p>
      <w:pPr>
        <w:pStyle w:val="0"/>
        <w:spacing w:before="200" w:line-rule="auto"/>
        <w:ind w:firstLine="540"/>
        <w:jc w:val="both"/>
      </w:pPr>
      <w:r>
        <w:rPr>
          <w:sz w:val="20"/>
        </w:rPr>
        <w:t xml:space="preserve">13. Заявка формируется ресурсными центрами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w:t>
      </w:r>
    </w:p>
    <w:p>
      <w:pPr>
        <w:pStyle w:val="0"/>
        <w:spacing w:before="200" w:line-rule="auto"/>
        <w:ind w:firstLine="540"/>
        <w:jc w:val="both"/>
      </w:pPr>
      <w:r>
        <w:rPr>
          <w:sz w:val="20"/>
        </w:rPr>
        <w:t xml:space="preserve">1) согласие на обработку персональных данных физических лиц, если информация (в том числе документы), включенная в состав заявки, содержит такие данные;</w:t>
      </w:r>
    </w:p>
    <w:p>
      <w:pPr>
        <w:pStyle w:val="0"/>
        <w:spacing w:before="200" w:line-rule="auto"/>
        <w:ind w:firstLine="540"/>
        <w:jc w:val="both"/>
      </w:pPr>
      <w:r>
        <w:rPr>
          <w:sz w:val="20"/>
        </w:rPr>
        <w:t xml:space="preserve">2) справку о банковских реквизитах ресурсного центра, выданную банком или иной кредитной организацией;</w:t>
      </w:r>
    </w:p>
    <w:p>
      <w:pPr>
        <w:pStyle w:val="0"/>
        <w:spacing w:before="200" w:line-rule="auto"/>
        <w:ind w:firstLine="540"/>
        <w:jc w:val="both"/>
      </w:pPr>
      <w:r>
        <w:rPr>
          <w:sz w:val="20"/>
        </w:rPr>
        <w:t xml:space="preserve">3) копию действующей редакции устава ресурсного центра;</w:t>
      </w:r>
    </w:p>
    <w:p>
      <w:pPr>
        <w:pStyle w:val="0"/>
        <w:spacing w:before="200" w:line-rule="auto"/>
        <w:ind w:firstLine="540"/>
        <w:jc w:val="both"/>
      </w:pPr>
      <w:r>
        <w:rPr>
          <w:sz w:val="20"/>
        </w:rPr>
        <w:t xml:space="preserve">4) копии документов, подтверждающих полномочия лица на подачу заявки от имени ресурсного центра, в случае, если заявку подает лицо, сведения о котором как о лице, имеющем право без доверенности действовать от имени ресурсного центра, не содержатся в едином государственном реестре юридических лиц (далее - уполномоченное лицо), заверенные печатью (при наличии) ресурсного центра и подписью руководителя ресурсного центра или уполномоченного лица;</w:t>
      </w:r>
    </w:p>
    <w:p>
      <w:pPr>
        <w:pStyle w:val="0"/>
        <w:spacing w:before="200" w:line-rule="auto"/>
        <w:ind w:firstLine="540"/>
        <w:jc w:val="both"/>
      </w:pPr>
      <w:r>
        <w:rPr>
          <w:sz w:val="20"/>
        </w:rPr>
        <w:t xml:space="preserve">5) ресурсный центр вправе включить в состав заявки дополнительную информацию и документы в соответствии с критериями оценки заявок, установленными </w:t>
      </w:r>
      <w:hyperlink w:history="0" w:anchor="P1712"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пунктом 22</w:t>
        </w:r>
      </w:hyperlink>
      <w:r>
        <w:rPr>
          <w:sz w:val="20"/>
        </w:rPr>
        <w:t xml:space="preserve"> Порядка.</w:t>
      </w:r>
    </w:p>
    <w:p>
      <w:pPr>
        <w:pStyle w:val="0"/>
        <w:spacing w:before="200" w:line-rule="auto"/>
        <w:ind w:firstLine="540"/>
        <w:jc w:val="both"/>
      </w:pPr>
      <w:r>
        <w:rPr>
          <w:sz w:val="20"/>
        </w:rPr>
        <w:t xml:space="preserve">Ответственность за достоверность и полноту представляемых документов и содержащихся в них сведений возлагается на ресурсный центр.</w:t>
      </w:r>
    </w:p>
    <w:p>
      <w:pPr>
        <w:pStyle w:val="0"/>
        <w:spacing w:before="200" w:line-rule="auto"/>
        <w:ind w:firstLine="540"/>
        <w:jc w:val="both"/>
      </w:pPr>
      <w:r>
        <w:rPr>
          <w:sz w:val="20"/>
        </w:rPr>
        <w:t xml:space="preserve">Заявка подписывается усиленной квалифицированной электронной подписью руководителя ресурсного центра или уполномоченного им лица.</w:t>
      </w:r>
    </w:p>
    <w:p>
      <w:pPr>
        <w:pStyle w:val="0"/>
        <w:spacing w:before="200" w:line-rule="auto"/>
        <w:ind w:firstLine="540"/>
        <w:jc w:val="both"/>
      </w:pPr>
      <w:r>
        <w:rPr>
          <w:sz w:val="20"/>
        </w:rPr>
        <w:t xml:space="preserve">Датой и временем представления ресурсным центром заявки считаются дата и время подписания указанной заявки с присвоением ей регистрационного номера в системе "Электронный бюджет".</w:t>
      </w:r>
    </w:p>
    <w:p>
      <w:pPr>
        <w:pStyle w:val="0"/>
        <w:jc w:val="both"/>
      </w:pPr>
      <w:r>
        <w:rPr>
          <w:sz w:val="20"/>
        </w:rPr>
        <w:t xml:space="preserve">(п. 13 в ред. </w:t>
      </w:r>
      <w:hyperlink w:history="0" r:id="rId47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Один ресурсный центр в рамках конкурса может подать не более одной заявки.</w:t>
      </w:r>
    </w:p>
    <w:bookmarkStart w:id="1659" w:name="P1659"/>
    <w:bookmarkEnd w:id="1659"/>
    <w:p>
      <w:pPr>
        <w:pStyle w:val="0"/>
        <w:spacing w:before="200" w:line-rule="auto"/>
        <w:ind w:firstLine="540"/>
        <w:jc w:val="both"/>
      </w:pPr>
      <w:r>
        <w:rPr>
          <w:sz w:val="20"/>
        </w:rPr>
        <w:t xml:space="preserve">15. Заявка и документы, указанные в </w:t>
      </w:r>
      <w:hyperlink w:history="0" w:anchor="P1648" w:tooltip="13. Заявка формируется ресурсными центр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пункте 13</w:t>
        </w:r>
      </w:hyperlink>
      <w:r>
        <w:rPr>
          <w:sz w:val="20"/>
        </w:rPr>
        <w:t xml:space="preserve"> Порядка, должны соответствовать следующим требованиям:</w:t>
      </w:r>
    </w:p>
    <w:p>
      <w:pPr>
        <w:pStyle w:val="0"/>
        <w:jc w:val="both"/>
      </w:pPr>
      <w:r>
        <w:rPr>
          <w:sz w:val="20"/>
        </w:rPr>
        <w:t xml:space="preserve">(в ред. </w:t>
      </w:r>
      <w:hyperlink w:history="0" r:id="rId48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быть хорошо читаемы, преобразованы в электронную форму в формате DOC и (или) PDF путем сканирования документа на бумажном носителе с передачей цвета;</w:t>
      </w:r>
    </w:p>
    <w:p>
      <w:pPr>
        <w:pStyle w:val="0"/>
        <w:spacing w:before="200" w:line-rule="auto"/>
        <w:ind w:firstLine="540"/>
        <w:jc w:val="both"/>
      </w:pPr>
      <w:r>
        <w:rPr>
          <w:sz w:val="20"/>
        </w:rPr>
        <w:t xml:space="preserve">2) файл должен содержать один полный документ (сканировать документы необходимо целиком, а не постранично);</w:t>
      </w:r>
    </w:p>
    <w:p>
      <w:pPr>
        <w:pStyle w:val="0"/>
        <w:spacing w:before="200" w:line-rule="auto"/>
        <w:ind w:firstLine="540"/>
        <w:jc w:val="both"/>
      </w:pPr>
      <w:r>
        <w:rPr>
          <w:sz w:val="20"/>
        </w:rPr>
        <w:t xml:space="preserve">3) название файла должно совпадать с заголовком документа или давать ясное понимание назначения документа.</w:t>
      </w:r>
    </w:p>
    <w:p>
      <w:pPr>
        <w:pStyle w:val="0"/>
        <w:spacing w:before="200" w:line-rule="auto"/>
        <w:ind w:firstLine="540"/>
        <w:jc w:val="both"/>
      </w:pPr>
      <w:r>
        <w:rPr>
          <w:sz w:val="20"/>
        </w:rPr>
        <w:t xml:space="preserve">Абзац утратил силу. - </w:t>
      </w:r>
      <w:hyperlink w:history="0" r:id="rId48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1665" w:name="P1665"/>
    <w:bookmarkEnd w:id="1665"/>
    <w:p>
      <w:pPr>
        <w:pStyle w:val="0"/>
        <w:spacing w:before="200" w:line-rule="auto"/>
        <w:ind w:firstLine="540"/>
        <w:jc w:val="both"/>
      </w:pPr>
      <w:r>
        <w:rPr>
          <w:sz w:val="20"/>
        </w:rPr>
        <w:t xml:space="preserve">16. Заявка может быть отозвана ресурсным центром в любое время до даты окончания проведения конкурса.</w:t>
      </w:r>
    </w:p>
    <w:p>
      <w:pPr>
        <w:pStyle w:val="0"/>
        <w:spacing w:before="200" w:line-rule="auto"/>
        <w:ind w:firstLine="540"/>
        <w:jc w:val="both"/>
      </w:pPr>
      <w:r>
        <w:rPr>
          <w:sz w:val="20"/>
        </w:rPr>
        <w:t xml:space="preserve">Внесение изменений в заявку допускается до окончания срока приема заявок через систему "Электронный бюджет".</w:t>
      </w:r>
    </w:p>
    <w:p>
      <w:pPr>
        <w:pStyle w:val="0"/>
        <w:spacing w:before="200" w:line-rule="auto"/>
        <w:ind w:firstLine="540"/>
        <w:jc w:val="both"/>
      </w:pPr>
      <w:r>
        <w:rPr>
          <w:sz w:val="20"/>
        </w:rPr>
        <w:t xml:space="preserve">Возврат заявки на доработку допускается в случае необходимости представления для включения в ее состав дополнительной информации (в том числе документов), исправления описок, опечаток, орфографических и арифметических ошибок, допущенных в документах в составе заявки. Не допускается изменение информации и документов по указанным в объявлении о проведении конкурса критериям оценки (показателям критериев оценки), по которым ресурсному центру присваивается итоговое количество баллов.</w:t>
      </w:r>
    </w:p>
    <w:p>
      <w:pPr>
        <w:pStyle w:val="0"/>
        <w:spacing w:before="200" w:line-rule="auto"/>
        <w:ind w:firstLine="540"/>
        <w:jc w:val="both"/>
      </w:pPr>
      <w:r>
        <w:rPr>
          <w:sz w:val="20"/>
        </w:rPr>
        <w:t xml:space="preserve">Изменения в заявку вносятся и регистрируются в соответствии с процедурой подачи заявок. Датой представления изменений в заявку считается день подписания ресурсным центром изменений в заявку в системе "Электронный бюджет".</w:t>
      </w:r>
    </w:p>
    <w:p>
      <w:pPr>
        <w:pStyle w:val="0"/>
        <w:spacing w:before="200" w:line-rule="auto"/>
        <w:ind w:firstLine="540"/>
        <w:jc w:val="both"/>
      </w:pPr>
      <w:r>
        <w:rPr>
          <w:sz w:val="20"/>
        </w:rPr>
        <w:t xml:space="preserve">Отозванные заявки не учитываются при определении количества поданных заявок.</w:t>
      </w:r>
    </w:p>
    <w:p>
      <w:pPr>
        <w:pStyle w:val="0"/>
        <w:jc w:val="both"/>
      </w:pPr>
      <w:r>
        <w:rPr>
          <w:sz w:val="20"/>
        </w:rPr>
        <w:t xml:space="preserve">(п. 16 в ред. </w:t>
      </w:r>
      <w:hyperlink w:history="0" r:id="rId48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17. Ресурсные центры со дня размещения объявления о проведении конкурса и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конкурса путем формирования в системе "Электронный бюджет" соответствующего запроса.</w:t>
      </w:r>
    </w:p>
    <w:bookmarkStart w:id="1672" w:name="P1672"/>
    <w:bookmarkEnd w:id="1672"/>
    <w:p>
      <w:pPr>
        <w:pStyle w:val="0"/>
        <w:spacing w:before="200" w:line-rule="auto"/>
        <w:ind w:firstLine="540"/>
        <w:jc w:val="both"/>
      </w:pPr>
      <w:r>
        <w:rPr>
          <w:sz w:val="20"/>
        </w:rPr>
        <w:t xml:space="preserve">Министерство в течение трех рабочих дней со дня получения запроса, но не позднее одного рабочего дня до дня завершения подачи заявок, направляет ответ ресурсному центру по предмету запроса путем формирования в системе "Электронный бюджет" соответствующего разъяснения.</w:t>
      </w:r>
    </w:p>
    <w:p>
      <w:pPr>
        <w:pStyle w:val="0"/>
        <w:spacing w:before="200" w:line-rule="auto"/>
        <w:ind w:firstLine="540"/>
        <w:jc w:val="both"/>
      </w:pPr>
      <w:r>
        <w:rPr>
          <w:sz w:val="20"/>
        </w:rPr>
        <w:t xml:space="preserve">Представленное министерством разъяснение положений объявления о проведении конкурса не должно изменять суть информации, содержащейся в указанном объявлении.</w:t>
      </w:r>
    </w:p>
    <w:p>
      <w:pPr>
        <w:pStyle w:val="0"/>
        <w:spacing w:before="200" w:line-rule="auto"/>
        <w:ind w:firstLine="540"/>
        <w:jc w:val="both"/>
      </w:pPr>
      <w:r>
        <w:rPr>
          <w:sz w:val="20"/>
        </w:rPr>
        <w:t xml:space="preserve">Доступ к разъяснению, формируемому в системе "Электронный бюджет" в соответствии с </w:t>
      </w:r>
      <w:hyperlink w:history="0" w:anchor="P1672" w:tooltip="Министерство в течение трех рабочих дней со дня получения запроса, но не позднее одного рабочего дня до дня завершения подачи заявок, направляет ответ ресурсному центру по предмету запроса путем формирования в системе &quot;Электронный бюджет&quot; соответствующего разъяснения.">
        <w:r>
          <w:rPr>
            <w:sz w:val="20"/>
            <w:color w:val="0000ff"/>
          </w:rPr>
          <w:t xml:space="preserve">абзацем вторым</w:t>
        </w:r>
      </w:hyperlink>
      <w:r>
        <w:rPr>
          <w:sz w:val="20"/>
        </w:rPr>
        <w:t xml:space="preserve"> настоящего пункта, предоставляется всем участникам конкурса.</w:t>
      </w:r>
    </w:p>
    <w:p>
      <w:pPr>
        <w:pStyle w:val="0"/>
        <w:jc w:val="both"/>
      </w:pPr>
      <w:r>
        <w:rPr>
          <w:sz w:val="20"/>
        </w:rPr>
        <w:t xml:space="preserve">(п. 17 в ред. </w:t>
      </w:r>
      <w:hyperlink w:history="0" r:id="rId48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676" w:name="P1676"/>
    <w:bookmarkEnd w:id="1676"/>
    <w:p>
      <w:pPr>
        <w:pStyle w:val="0"/>
        <w:spacing w:before="200" w:line-rule="auto"/>
        <w:ind w:firstLine="540"/>
        <w:jc w:val="both"/>
      </w:pPr>
      <w:r>
        <w:rPr>
          <w:sz w:val="20"/>
        </w:rPr>
        <w:t xml:space="preserve">18. Доступ министерства, конкурсной комиссии к заявкам ресурсных центров открывается в системе "Электронный бюджет" со дня начала срока подачи заявок.</w:t>
      </w:r>
    </w:p>
    <w:p>
      <w:pPr>
        <w:pStyle w:val="0"/>
        <w:spacing w:before="200" w:line-rule="auto"/>
        <w:ind w:firstLine="540"/>
        <w:jc w:val="both"/>
      </w:pPr>
      <w:r>
        <w:rPr>
          <w:sz w:val="20"/>
        </w:rPr>
        <w:t xml:space="preserve">Протокол вскрытия заявок формируется на едином портале автоматически и подписывается усиленной квалифицированной электронной подписью председателя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jc w:val="both"/>
      </w:pPr>
      <w:r>
        <w:rPr>
          <w:sz w:val="20"/>
        </w:rPr>
        <w:t xml:space="preserve">(п. 18 в ред. </w:t>
      </w:r>
      <w:hyperlink w:history="0" r:id="rId48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679" w:name="P1679"/>
    <w:bookmarkEnd w:id="1679"/>
    <w:p>
      <w:pPr>
        <w:pStyle w:val="0"/>
        <w:spacing w:before="200" w:line-rule="auto"/>
        <w:ind w:firstLine="540"/>
        <w:jc w:val="both"/>
      </w:pPr>
      <w:r>
        <w:rPr>
          <w:sz w:val="20"/>
        </w:rPr>
        <w:t xml:space="preserve">18.1. Проверка ресурсных центров на соответствие требованиям, указанным в </w:t>
      </w:r>
      <w:hyperlink w:history="0" w:anchor="P1637" w:tooltip="12. Ресурсный центр должен соответствовать следующим требованиям:">
        <w:r>
          <w:rPr>
            <w:sz w:val="20"/>
            <w:color w:val="0000ff"/>
          </w:rPr>
          <w:t xml:space="preserve">пункте 12</w:t>
        </w:r>
      </w:hyperlink>
      <w:r>
        <w:rPr>
          <w:sz w:val="20"/>
        </w:rPr>
        <w:t xml:space="preserve">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pPr>
        <w:pStyle w:val="0"/>
        <w:spacing w:before="200" w:line-rule="auto"/>
        <w:ind w:firstLine="540"/>
        <w:jc w:val="both"/>
      </w:pPr>
      <w:r>
        <w:rPr>
          <w:sz w:val="20"/>
        </w:rPr>
        <w:t xml:space="preserve">Подтверждение соответствия ресурсного центра требованиям, установленным </w:t>
      </w:r>
      <w:hyperlink w:history="0" w:anchor="P1637" w:tooltip="12. Ресурсный центр должен соответствовать следующим требованиям:">
        <w:r>
          <w:rPr>
            <w:sz w:val="20"/>
            <w:color w:val="0000ff"/>
          </w:rPr>
          <w:t xml:space="preserve">пунктом 12</w:t>
        </w:r>
      </w:hyperlink>
      <w:r>
        <w:rPr>
          <w:sz w:val="20"/>
        </w:rPr>
        <w:t xml:space="preserve"> Порядка, в случае отсутствия технической возможности осуществления автоматической проверки в системе "Электронный бюджет" осуществляется путем проставления ресурсным центром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pPr>
        <w:pStyle w:val="0"/>
        <w:jc w:val="both"/>
      </w:pPr>
      <w:r>
        <w:rPr>
          <w:sz w:val="20"/>
        </w:rPr>
        <w:t xml:space="preserve">(п. 18.1 введен </w:t>
      </w:r>
      <w:hyperlink w:history="0" r:id="rId48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682" w:name="P1682"/>
    <w:bookmarkEnd w:id="1682"/>
    <w:p>
      <w:pPr>
        <w:pStyle w:val="0"/>
        <w:spacing w:before="200" w:line-rule="auto"/>
        <w:ind w:firstLine="540"/>
        <w:jc w:val="both"/>
      </w:pPr>
      <w:r>
        <w:rPr>
          <w:sz w:val="20"/>
        </w:rPr>
        <w:t xml:space="preserve">19. Министерство на стадии проверки документов ресурсных центров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w:t>
      </w:r>
    </w:p>
    <w:p>
      <w:pPr>
        <w:pStyle w:val="0"/>
        <w:jc w:val="both"/>
      </w:pPr>
      <w:r>
        <w:rPr>
          <w:sz w:val="20"/>
        </w:rPr>
        <w:t xml:space="preserve">(в ред. </w:t>
      </w:r>
      <w:hyperlink w:history="0" r:id="rId48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pPr>
        <w:pStyle w:val="0"/>
        <w:jc w:val="both"/>
      </w:pPr>
      <w:r>
        <w:rPr>
          <w:sz w:val="20"/>
        </w:rPr>
        <w:t xml:space="preserve">(в ред. </w:t>
      </w:r>
      <w:hyperlink w:history="0" r:id="rId48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содержащиеся в Едином государственном реестре юридических лиц;</w:t>
      </w:r>
    </w:p>
    <w:p>
      <w:pPr>
        <w:pStyle w:val="0"/>
        <w:jc w:val="both"/>
      </w:pPr>
      <w:r>
        <w:rPr>
          <w:sz w:val="20"/>
        </w:rPr>
        <w:t xml:space="preserve">(пп. 2 в ред. </w:t>
      </w:r>
      <w:hyperlink w:history="0" r:id="rId48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содержащиеся в реестре дисквалифицированных лиц о конкретном дисквалифицированном лице либо информации об отсутствии запрашиваемых сведений;</w:t>
      </w:r>
    </w:p>
    <w:p>
      <w:pPr>
        <w:pStyle w:val="0"/>
        <w:jc w:val="both"/>
      </w:pPr>
      <w:r>
        <w:rPr>
          <w:sz w:val="20"/>
        </w:rPr>
        <w:t xml:space="preserve">(в ред. </w:t>
      </w:r>
      <w:hyperlink w:history="0" r:id="rId48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4) содержащиеся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связанных с террористическими организациями и террористами или с распространением оружия массового уничтожения;</w:t>
      </w:r>
    </w:p>
    <w:p>
      <w:pPr>
        <w:pStyle w:val="0"/>
        <w:jc w:val="both"/>
      </w:pPr>
      <w:r>
        <w:rPr>
          <w:sz w:val="20"/>
        </w:rPr>
        <w:t xml:space="preserve">(в ред. </w:t>
      </w:r>
      <w:hyperlink w:history="0" r:id="rId49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содержащиеся в реестре иностранных агентов.</w:t>
      </w:r>
    </w:p>
    <w:p>
      <w:pPr>
        <w:pStyle w:val="0"/>
        <w:jc w:val="both"/>
      </w:pPr>
      <w:r>
        <w:rPr>
          <w:sz w:val="20"/>
        </w:rPr>
        <w:t xml:space="preserve">(в ред. </w:t>
      </w:r>
      <w:hyperlink w:history="0" r:id="rId49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Ресурсные центры вправе представить документы, содержащие данные сведения, при подаче заявки в министерство по собственной инициативе.</w:t>
      </w:r>
    </w:p>
    <w:p>
      <w:pPr>
        <w:pStyle w:val="0"/>
        <w:jc w:val="both"/>
      </w:pPr>
      <w:r>
        <w:rPr>
          <w:sz w:val="20"/>
        </w:rPr>
        <w:t xml:space="preserve">(в ред. </w:t>
      </w:r>
      <w:hyperlink w:history="0" r:id="rId49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19.1. Запрещено требовать от ресурсного центра представления документов и информации в целях подтверждения соответствия ресурсного центра требованиям, установленным </w:t>
      </w:r>
      <w:hyperlink w:history="0" w:anchor="P1637" w:tooltip="12. Ресурсный центр должен соответствовать следующим требованиям:">
        <w:r>
          <w:rPr>
            <w:sz w:val="20"/>
            <w:color w:val="0000ff"/>
          </w:rPr>
          <w:t xml:space="preserve">пунктом 12</w:t>
        </w:r>
      </w:hyperlink>
      <w:r>
        <w:rPr>
          <w:sz w:val="20"/>
        </w:rPr>
        <w:t xml:space="preserve">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случая, если ресурсный центр готов представить указанные документы и информацию в министерство по собственной инициативе.</w:t>
      </w:r>
    </w:p>
    <w:p>
      <w:pPr>
        <w:pStyle w:val="0"/>
        <w:jc w:val="both"/>
      </w:pPr>
      <w:r>
        <w:rPr>
          <w:sz w:val="20"/>
        </w:rPr>
        <w:t xml:space="preserve">(п. 19.1 введен </w:t>
      </w:r>
      <w:hyperlink w:history="0" r:id="rId49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19.2. Конкурсная комиссия в течение 15 рабочих дней, следующих за днем окончания приема заявок в системе "Электронный бюджет", осуществляет рассмотрение заявок и приложенные к ним документы на соответствие требованиям, установленным </w:t>
      </w:r>
      <w:hyperlink w:history="0" w:anchor="P1637" w:tooltip="12. Ресурсный центр должен соответствовать следующим требованиям:">
        <w:r>
          <w:rPr>
            <w:sz w:val="20"/>
            <w:color w:val="0000ff"/>
          </w:rPr>
          <w:t xml:space="preserve">пунктами 12</w:t>
        </w:r>
      </w:hyperlink>
      <w:r>
        <w:rPr>
          <w:sz w:val="20"/>
        </w:rPr>
        <w:t xml:space="preserve"> - </w:t>
      </w:r>
      <w:hyperlink w:history="0" w:anchor="P1659"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jc w:val="both"/>
      </w:pPr>
      <w:r>
        <w:rPr>
          <w:sz w:val="20"/>
        </w:rPr>
        <w:t xml:space="preserve">(п. 19.2 введен </w:t>
      </w:r>
      <w:hyperlink w:history="0" r:id="rId49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700" w:name="P1700"/>
    <w:bookmarkEnd w:id="1700"/>
    <w:p>
      <w:pPr>
        <w:pStyle w:val="0"/>
        <w:spacing w:before="200" w:line-rule="auto"/>
        <w:ind w:firstLine="540"/>
        <w:jc w:val="both"/>
      </w:pPr>
      <w:r>
        <w:rPr>
          <w:sz w:val="20"/>
        </w:rPr>
        <w:t xml:space="preserve">20. Основаниями для отклонения заявки на стадии рассмотрения и оценки заявок являются:</w:t>
      </w:r>
    </w:p>
    <w:p>
      <w:pPr>
        <w:pStyle w:val="0"/>
        <w:spacing w:before="200" w:line-rule="auto"/>
        <w:ind w:firstLine="540"/>
        <w:jc w:val="both"/>
      </w:pPr>
      <w:r>
        <w:rPr>
          <w:sz w:val="20"/>
        </w:rPr>
        <w:t xml:space="preserve">1) несоответствие ресурсного центра требованиям, установленным </w:t>
      </w:r>
      <w:hyperlink w:history="0" w:anchor="P1564" w:tooltip="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w:r>
          <w:rPr>
            <w:sz w:val="20"/>
            <w:color w:val="0000ff"/>
          </w:rPr>
          <w:t xml:space="preserve">пунктами 5</w:t>
        </w:r>
      </w:hyperlink>
      <w:r>
        <w:rPr>
          <w:sz w:val="20"/>
        </w:rPr>
        <w:t xml:space="preserve">, </w:t>
      </w:r>
      <w:hyperlink w:history="0" w:anchor="P1637" w:tooltip="12. Ресурсный центр должен соответствовать следующим требованиям:">
        <w:r>
          <w:rPr>
            <w:sz w:val="20"/>
            <w:color w:val="0000ff"/>
          </w:rPr>
          <w:t xml:space="preserve">12</w:t>
        </w:r>
      </w:hyperlink>
      <w:r>
        <w:rPr>
          <w:sz w:val="20"/>
        </w:rPr>
        <w:t xml:space="preserve"> Порядка;</w:t>
      </w:r>
    </w:p>
    <w:p>
      <w:pPr>
        <w:pStyle w:val="0"/>
        <w:spacing w:before="200" w:line-rule="auto"/>
        <w:ind w:firstLine="540"/>
        <w:jc w:val="both"/>
      </w:pPr>
      <w:r>
        <w:rPr>
          <w:sz w:val="20"/>
        </w:rPr>
        <w:t xml:space="preserve">2) несоответствие представленных ресурсным центром заявки и документов требованиям, установленным </w:t>
      </w:r>
      <w:hyperlink w:history="0" w:anchor="P1648" w:tooltip="13. Заявка формируется ресурсными центр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пунктами 13</w:t>
        </w:r>
      </w:hyperlink>
      <w:r>
        <w:rPr>
          <w:sz w:val="20"/>
        </w:rPr>
        <w:t xml:space="preserve"> - </w:t>
      </w:r>
      <w:hyperlink w:history="0" w:anchor="P1659"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3) недостоверность представленной ресурсным центром информации, в том числе информации о месте нахождения и адресе юридического лица;</w:t>
      </w:r>
    </w:p>
    <w:p>
      <w:pPr>
        <w:pStyle w:val="0"/>
        <w:spacing w:before="200" w:line-rule="auto"/>
        <w:ind w:firstLine="540"/>
        <w:jc w:val="both"/>
      </w:pPr>
      <w:r>
        <w:rPr>
          <w:sz w:val="20"/>
        </w:rPr>
        <w:t xml:space="preserve">4) подача заявки после даты, определенной для подачи заявок;</w:t>
      </w:r>
    </w:p>
    <w:p>
      <w:pPr>
        <w:pStyle w:val="0"/>
        <w:spacing w:before="200" w:line-rule="auto"/>
        <w:ind w:firstLine="540"/>
        <w:jc w:val="both"/>
      </w:pPr>
      <w:r>
        <w:rPr>
          <w:sz w:val="20"/>
        </w:rPr>
        <w:t xml:space="preserve">5) несоответствие целевого назначения гранта предмету деятельности ресурсного центра, указанному в его учредительных документах;</w:t>
      </w:r>
    </w:p>
    <w:p>
      <w:pPr>
        <w:pStyle w:val="0"/>
        <w:spacing w:before="200" w:line-rule="auto"/>
        <w:ind w:firstLine="540"/>
        <w:jc w:val="both"/>
      </w:pPr>
      <w:r>
        <w:rPr>
          <w:sz w:val="20"/>
        </w:rPr>
        <w:t xml:space="preserve">6) непредставление (представление не в полном объеме) документов, предусмотренных </w:t>
      </w:r>
      <w:hyperlink w:history="0" w:anchor="P1648" w:tooltip="13. Заявка формируется ресурсными центр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конкурса, а именно:">
        <w:r>
          <w:rPr>
            <w:sz w:val="20"/>
            <w:color w:val="0000ff"/>
          </w:rPr>
          <w:t xml:space="preserve">пунктом 13</w:t>
        </w:r>
      </w:hyperlink>
      <w:r>
        <w:rPr>
          <w:sz w:val="20"/>
        </w:rPr>
        <w:t xml:space="preserve"> Порядка.</w:t>
      </w:r>
    </w:p>
    <w:p>
      <w:pPr>
        <w:pStyle w:val="0"/>
        <w:spacing w:before="200" w:line-rule="auto"/>
        <w:ind w:firstLine="540"/>
        <w:jc w:val="both"/>
      </w:pPr>
      <w:r>
        <w:rPr>
          <w:sz w:val="20"/>
        </w:rPr>
        <w:t xml:space="preserve">Абзацы восьмой - девятый утратили силу. - </w:t>
      </w:r>
      <w:hyperlink w:history="0" r:id="rId49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21. По результатам рассмотрения конкурсной комиссией заявок в течение 15 рабочих дней, следующих за днем окончания приема заявок в системе "Электронный бюджет", подготавливается протокол рассмотрения заявок, включающий информацию о количестве поступивших и рассмотренных заявок, а также информацию по каждому ресурсному центру о признании заявки надлежащей или об отклонении заявки по основаниям, указанным в </w:t>
      </w:r>
      <w:hyperlink w:history="0" w:anchor="P1700" w:tooltip="20. Основаниями для отклонения заявки на стадии рассмотрения и оценки заявок являются:">
        <w:r>
          <w:rPr>
            <w:sz w:val="20"/>
            <w:color w:val="0000ff"/>
          </w:rPr>
          <w:t xml:space="preserve">пункте 20</w:t>
        </w:r>
      </w:hyperlink>
      <w:r>
        <w:rPr>
          <w:sz w:val="20"/>
        </w:rPr>
        <w:t xml:space="preserve"> Порядка.</w:t>
      </w:r>
    </w:p>
    <w:p>
      <w:pPr>
        <w:pStyle w:val="0"/>
        <w:spacing w:before="200" w:line-rule="auto"/>
        <w:ind w:firstLine="540"/>
        <w:jc w:val="both"/>
      </w:pPr>
      <w:r>
        <w:rPr>
          <w:sz w:val="20"/>
        </w:rPr>
        <w:t xml:space="preserve">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председателя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spacing w:before="200" w:line-rule="auto"/>
        <w:ind w:firstLine="540"/>
        <w:jc w:val="both"/>
      </w:pPr>
      <w:r>
        <w:rPr>
          <w:sz w:val="20"/>
        </w:rPr>
        <w:t xml:space="preserve">Внесение изменений в протокол рассмотрения заявок осуществляется не позднее 10 календарных дней со дня подписания первой версии протокола рассмотрения заявок путем формирования новой версии указанного протокола с указанием причин внесения изменений.</w:t>
      </w:r>
    </w:p>
    <w:p>
      <w:pPr>
        <w:pStyle w:val="0"/>
        <w:jc w:val="both"/>
      </w:pPr>
      <w:r>
        <w:rPr>
          <w:sz w:val="20"/>
        </w:rPr>
        <w:t xml:space="preserve">(п. 21 в ред. </w:t>
      </w:r>
      <w:hyperlink w:history="0" r:id="rId49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712" w:name="P1712"/>
    <w:bookmarkEnd w:id="1712"/>
    <w:p>
      <w:pPr>
        <w:pStyle w:val="0"/>
        <w:spacing w:before="200" w:line-rule="auto"/>
        <w:ind w:firstLine="540"/>
        <w:jc w:val="both"/>
      </w:pPr>
      <w:r>
        <w:rPr>
          <w:sz w:val="20"/>
        </w:rPr>
        <w:t xml:space="preserve">22. Для определения победителя конкурса заявки оцениваются конкурсной комиссией, сформированной в соответствии с </w:t>
      </w:r>
      <w:hyperlink w:history="0" w:anchor="P1763" w:tooltip="23. В состав конкурсной комиссии входят председатель комиссии, заместитель председателя комиссии, секретарь комиссии и члены комиссии. В состав конкурсной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
        <w:r>
          <w:rPr>
            <w:sz w:val="20"/>
            <w:color w:val="0000ff"/>
          </w:rPr>
          <w:t xml:space="preserve">пунктом 23</w:t>
        </w:r>
      </w:hyperlink>
      <w:r>
        <w:rPr>
          <w:sz w:val="20"/>
        </w:rPr>
        <w:t xml:space="preserve"> Порядка, не позднее 25 рабочих дней со дня размещения протокола рассмотрения заявок на едином портале по следующим критериям:</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6"/>
        <w:gridCol w:w="1871"/>
        <w:gridCol w:w="1531"/>
        <w:gridCol w:w="5102"/>
      </w:tblGrid>
      <w:tr>
        <w:tc>
          <w:tcPr>
            <w:tcW w:w="566" w:type="dxa"/>
          </w:tcPr>
          <w:p>
            <w:pPr>
              <w:pStyle w:val="0"/>
              <w:jc w:val="center"/>
            </w:pPr>
            <w:r>
              <w:rPr>
                <w:sz w:val="20"/>
              </w:rPr>
              <w:t xml:space="preserve">N п/п</w:t>
            </w:r>
          </w:p>
        </w:tc>
        <w:tc>
          <w:tcPr>
            <w:tcW w:w="1871" w:type="dxa"/>
          </w:tcPr>
          <w:p>
            <w:pPr>
              <w:pStyle w:val="0"/>
              <w:jc w:val="center"/>
            </w:pPr>
            <w:r>
              <w:rPr>
                <w:sz w:val="20"/>
              </w:rPr>
              <w:t xml:space="preserve">Критерии</w:t>
            </w:r>
          </w:p>
        </w:tc>
        <w:tc>
          <w:tcPr>
            <w:tcW w:w="1531" w:type="dxa"/>
          </w:tcPr>
          <w:p>
            <w:pPr>
              <w:pStyle w:val="0"/>
              <w:jc w:val="center"/>
            </w:pPr>
            <w:r>
              <w:rPr>
                <w:sz w:val="20"/>
              </w:rPr>
              <w:t xml:space="preserve">Коэффициент значимости</w:t>
            </w:r>
          </w:p>
        </w:tc>
        <w:tc>
          <w:tcPr>
            <w:tcW w:w="5102" w:type="dxa"/>
          </w:tcPr>
          <w:p>
            <w:pPr>
              <w:pStyle w:val="0"/>
              <w:jc w:val="center"/>
            </w:pPr>
            <w:r>
              <w:rPr>
                <w:sz w:val="20"/>
              </w:rPr>
              <w:t xml:space="preserve">Оценка</w:t>
            </w:r>
          </w:p>
        </w:tc>
      </w:tr>
      <w:tr>
        <w:tc>
          <w:tcPr>
            <w:tcW w:w="566" w:type="dxa"/>
          </w:tcPr>
          <w:p>
            <w:pPr>
              <w:pStyle w:val="0"/>
              <w:jc w:val="center"/>
            </w:pPr>
            <w:r>
              <w:rPr>
                <w:sz w:val="20"/>
              </w:rPr>
              <w:t xml:space="preserve">1</w:t>
            </w:r>
          </w:p>
        </w:tc>
        <w:tc>
          <w:tcPr>
            <w:tcW w:w="1871" w:type="dxa"/>
          </w:tcPr>
          <w:p>
            <w:pPr>
              <w:pStyle w:val="0"/>
            </w:pPr>
            <w:r>
              <w:rPr>
                <w:sz w:val="20"/>
              </w:rPr>
              <w:t xml:space="preserve">Соответствие мероприятий проекта ресурсного центра целям, задачам и ожидаемым результатам</w:t>
            </w:r>
          </w:p>
        </w:tc>
        <w:tc>
          <w:tcPr>
            <w:tcW w:w="1531" w:type="dxa"/>
          </w:tcPr>
          <w:p>
            <w:pPr>
              <w:pStyle w:val="0"/>
              <w:jc w:val="center"/>
            </w:pPr>
            <w:r>
              <w:rPr>
                <w:sz w:val="20"/>
              </w:rPr>
              <w:t xml:space="preserve">0,2</w:t>
            </w:r>
          </w:p>
        </w:tc>
        <w:tc>
          <w:tcPr>
            <w:tcW w:w="5102" w:type="dxa"/>
          </w:tcPr>
          <w:p>
            <w:pPr>
              <w:pStyle w:val="0"/>
              <w:jc w:val="both"/>
            </w:pPr>
            <w:r>
              <w:rPr>
                <w:sz w:val="20"/>
              </w:rPr>
              <w:t xml:space="preserve">имеются несоответствия запланированных мероприятий целям, задачам и ожидаемым результатам проекта, сроки выполнения мероприятий некорректны, создают риски реализации такого проекта - 0 баллов;</w:t>
            </w:r>
          </w:p>
          <w:p>
            <w:pPr>
              <w:pStyle w:val="0"/>
              <w:jc w:val="both"/>
            </w:pPr>
            <w:r>
              <w:rPr>
                <w:sz w:val="20"/>
              </w:rPr>
              <w:t xml:space="preserve">запланированные мероприятия обеспечивают достижение цели проекта, решение поставленных задач и достижение ожидаемых результатов, вместе с тем состав мероприятий не является в полной мере оптимальным и (или) сроки выполнения отдельных мероприятий требуют корректировки - 60 баллов;</w:t>
            </w:r>
          </w:p>
          <w:p>
            <w:pPr>
              <w:pStyle w:val="0"/>
              <w:jc w:val="both"/>
            </w:pPr>
            <w:r>
              <w:rPr>
                <w:sz w:val="20"/>
              </w:rPr>
              <w:t xml:space="preserve">запланированные мероприятия обеспечивают достижение цели проекта, решение поставленных задач и достижение ожидаемых результатов проекта, указаны разумные сроки, позволяющие в полной мере решить задачи такого проекта, - 100 баллов</w:t>
            </w:r>
          </w:p>
        </w:tc>
      </w:tr>
      <w:tr>
        <w:tc>
          <w:tcPr>
            <w:tcW w:w="566" w:type="dxa"/>
          </w:tcPr>
          <w:p>
            <w:pPr>
              <w:pStyle w:val="0"/>
              <w:jc w:val="center"/>
            </w:pPr>
            <w:r>
              <w:rPr>
                <w:sz w:val="20"/>
              </w:rPr>
              <w:t xml:space="preserve">2</w:t>
            </w:r>
          </w:p>
        </w:tc>
        <w:tc>
          <w:tcPr>
            <w:tcW w:w="1871" w:type="dxa"/>
          </w:tcPr>
          <w:p>
            <w:pPr>
              <w:pStyle w:val="0"/>
            </w:pPr>
            <w:r>
              <w:rPr>
                <w:sz w:val="20"/>
              </w:rPr>
              <w:t xml:space="preserve">Наличие квалифицированного кадрового потенциала, подтвержденного списками специалистов, привлекаемых для реализации проекта ресурсного центра</w:t>
            </w:r>
          </w:p>
        </w:tc>
        <w:tc>
          <w:tcPr>
            <w:tcW w:w="1531" w:type="dxa"/>
          </w:tcPr>
          <w:p>
            <w:pPr>
              <w:pStyle w:val="0"/>
              <w:jc w:val="center"/>
            </w:pPr>
            <w:r>
              <w:rPr>
                <w:sz w:val="20"/>
              </w:rPr>
              <w:t xml:space="preserve">0,1</w:t>
            </w:r>
          </w:p>
        </w:tc>
        <w:tc>
          <w:tcPr>
            <w:tcW w:w="5102" w:type="dxa"/>
          </w:tcPr>
          <w:p>
            <w:pPr>
              <w:pStyle w:val="0"/>
              <w:jc w:val="both"/>
            </w:pPr>
            <w:r>
              <w:rPr>
                <w:sz w:val="20"/>
              </w:rPr>
              <w:t xml:space="preserve">работники, имеющие опыт и квалификацию, необходимые для выполнения мероприятий проекта, отсутствуют - 0 баллов;</w:t>
            </w:r>
          </w:p>
          <w:p>
            <w:pPr>
              <w:pStyle w:val="0"/>
              <w:jc w:val="both"/>
            </w:pPr>
            <w:r>
              <w:rPr>
                <w:sz w:val="20"/>
              </w:rPr>
              <w:t xml:space="preserve">работники, заявленные в проекте, имеют недостаточную квалификацию для реализации проекта либо количество привлекаемых специалистов от 1 до 2 - 60 баллов;</w:t>
            </w:r>
          </w:p>
          <w:p>
            <w:pPr>
              <w:pStyle w:val="0"/>
              <w:jc w:val="both"/>
            </w:pPr>
            <w:r>
              <w:rPr>
                <w:sz w:val="20"/>
              </w:rPr>
              <w:t xml:space="preserve">наличие у ресурсного центра работников, имеющих опыт и квалификацию, необходимые для выполнения мероприятий проекта, от 3 специалистов и более - 100 баллов</w:t>
            </w:r>
          </w:p>
        </w:tc>
      </w:tr>
      <w:tr>
        <w:tc>
          <w:tcPr>
            <w:tcW w:w="566" w:type="dxa"/>
          </w:tcPr>
          <w:p>
            <w:pPr>
              <w:pStyle w:val="0"/>
              <w:jc w:val="center"/>
            </w:pPr>
            <w:r>
              <w:rPr>
                <w:sz w:val="20"/>
              </w:rPr>
              <w:t xml:space="preserve">3</w:t>
            </w:r>
          </w:p>
        </w:tc>
        <w:tc>
          <w:tcPr>
            <w:tcW w:w="1871" w:type="dxa"/>
          </w:tcPr>
          <w:p>
            <w:pPr>
              <w:pStyle w:val="0"/>
            </w:pPr>
            <w:r>
              <w:rPr>
                <w:sz w:val="20"/>
              </w:rPr>
              <w:t xml:space="preserve">Наличие необходимой материально-технической базы ресурсного центра, информационных возможностей и помещения для организации и проведения мероприятий, подтвержденных соответствующими документами</w:t>
            </w:r>
          </w:p>
        </w:tc>
        <w:tc>
          <w:tcPr>
            <w:tcW w:w="1531" w:type="dxa"/>
          </w:tcPr>
          <w:p>
            <w:pPr>
              <w:pStyle w:val="0"/>
              <w:jc w:val="center"/>
            </w:pPr>
            <w:r>
              <w:rPr>
                <w:sz w:val="20"/>
              </w:rPr>
              <w:t xml:space="preserve">0,1</w:t>
            </w:r>
          </w:p>
        </w:tc>
        <w:tc>
          <w:tcPr>
            <w:tcW w:w="5102" w:type="dxa"/>
          </w:tcPr>
          <w:p>
            <w:pPr>
              <w:pStyle w:val="0"/>
              <w:jc w:val="both"/>
            </w:pPr>
            <w:r>
              <w:rPr>
                <w:sz w:val="20"/>
              </w:rPr>
              <w:t xml:space="preserve">отсутствие помещения, оборудованных рабочих мест для сотрудников и для клиентов ресурсного центра, выхода в сеть "Интернет" - 0 баллов;</w:t>
            </w:r>
          </w:p>
          <w:p>
            <w:pPr>
              <w:pStyle w:val="0"/>
              <w:jc w:val="both"/>
            </w:pPr>
            <w:r>
              <w:rPr>
                <w:sz w:val="20"/>
              </w:rPr>
              <w:t xml:space="preserve">наличие помещения, оборудованных рабочих мест для сотрудников и для клиентов ресурсного центра, наличие выхода в сеть "Интернет" - 100 баллов</w:t>
            </w:r>
          </w:p>
        </w:tc>
      </w:tr>
      <w:tr>
        <w:tc>
          <w:tcPr>
            <w:tcW w:w="566" w:type="dxa"/>
          </w:tcPr>
          <w:p>
            <w:pPr>
              <w:pStyle w:val="0"/>
              <w:jc w:val="center"/>
            </w:pPr>
            <w:r>
              <w:rPr>
                <w:sz w:val="20"/>
              </w:rPr>
              <w:t xml:space="preserve">4</w:t>
            </w:r>
          </w:p>
        </w:tc>
        <w:tc>
          <w:tcPr>
            <w:tcW w:w="1871" w:type="dxa"/>
          </w:tcPr>
          <w:p>
            <w:pPr>
              <w:pStyle w:val="0"/>
            </w:pPr>
            <w:r>
              <w:rPr>
                <w:sz w:val="20"/>
              </w:rPr>
              <w:t xml:space="preserve">Соответствие затрат, указанных в смете, затратам, направленным на достижение результата от реализации проекта ресурсного центра</w:t>
            </w:r>
          </w:p>
        </w:tc>
        <w:tc>
          <w:tcPr>
            <w:tcW w:w="1531" w:type="dxa"/>
          </w:tcPr>
          <w:p>
            <w:pPr>
              <w:pStyle w:val="0"/>
              <w:jc w:val="center"/>
            </w:pPr>
            <w:r>
              <w:rPr>
                <w:sz w:val="20"/>
              </w:rPr>
              <w:t xml:space="preserve">0,2</w:t>
            </w:r>
          </w:p>
        </w:tc>
        <w:tc>
          <w:tcPr>
            <w:tcW w:w="5102" w:type="dxa"/>
          </w:tcPr>
          <w:p>
            <w:pPr>
              <w:pStyle w:val="0"/>
              <w:jc w:val="both"/>
            </w:pPr>
            <w:r>
              <w:rPr>
                <w:sz w:val="20"/>
              </w:rPr>
              <w:t xml:space="preserve">затраты, указанные в смете проекта, не соответствуют предполагаемому эффекту от его реализации - 0 баллов;</w:t>
            </w:r>
          </w:p>
          <w:p>
            <w:pPr>
              <w:pStyle w:val="0"/>
              <w:jc w:val="both"/>
            </w:pPr>
            <w:r>
              <w:rPr>
                <w:sz w:val="20"/>
              </w:rPr>
              <w:t xml:space="preserve">затраты, указанные в смете проекта, частично соответствуют предполагаемому эффекту от его реализации - 50 баллов;</w:t>
            </w:r>
          </w:p>
          <w:p>
            <w:pPr>
              <w:pStyle w:val="0"/>
              <w:jc w:val="both"/>
            </w:pPr>
            <w:r>
              <w:rPr>
                <w:sz w:val="20"/>
              </w:rPr>
              <w:t xml:space="preserve">затраты, указанные в смете проекта, в целом соответствуют предполагаемому эффекту от его реализации, но бюджет отдельных мероприятий не продуман, не является оптимальным - 80 баллов;</w:t>
            </w:r>
          </w:p>
          <w:p>
            <w:pPr>
              <w:pStyle w:val="0"/>
              <w:jc w:val="both"/>
            </w:pPr>
            <w:r>
              <w:rPr>
                <w:sz w:val="20"/>
              </w:rPr>
              <w:t xml:space="preserve">затраты, указанные в смете проекта, соответствуют предполагаемому эффекту от его реализации - 100 баллов</w:t>
            </w:r>
          </w:p>
        </w:tc>
      </w:tr>
      <w:tr>
        <w:tc>
          <w:tcPr>
            <w:tcW w:w="566" w:type="dxa"/>
          </w:tcPr>
          <w:p>
            <w:pPr>
              <w:pStyle w:val="0"/>
              <w:jc w:val="center"/>
            </w:pPr>
            <w:r>
              <w:rPr>
                <w:sz w:val="20"/>
              </w:rPr>
              <w:t xml:space="preserve">5</w:t>
            </w:r>
          </w:p>
        </w:tc>
        <w:tc>
          <w:tcPr>
            <w:tcW w:w="1871" w:type="dxa"/>
          </w:tcPr>
          <w:p>
            <w:pPr>
              <w:pStyle w:val="0"/>
            </w:pPr>
            <w:r>
              <w:rPr>
                <w:sz w:val="20"/>
              </w:rPr>
              <w:t xml:space="preserve">Количество СО НКО и инициативных групп граждан, пользующихся услугами ресурсного центра в период подачи заявки</w:t>
            </w:r>
          </w:p>
        </w:tc>
        <w:tc>
          <w:tcPr>
            <w:tcW w:w="1531" w:type="dxa"/>
          </w:tcPr>
          <w:p>
            <w:pPr>
              <w:pStyle w:val="0"/>
              <w:jc w:val="center"/>
            </w:pPr>
            <w:r>
              <w:rPr>
                <w:sz w:val="20"/>
              </w:rPr>
              <w:t xml:space="preserve">0,2</w:t>
            </w:r>
          </w:p>
        </w:tc>
        <w:tc>
          <w:tcPr>
            <w:tcW w:w="5102" w:type="dxa"/>
          </w:tcPr>
          <w:p>
            <w:pPr>
              <w:pStyle w:val="0"/>
              <w:jc w:val="both"/>
            </w:pPr>
            <w:r>
              <w:rPr>
                <w:sz w:val="20"/>
              </w:rPr>
              <w:t xml:space="preserve">от 1 до 10 - 10 баллов;</w:t>
            </w:r>
          </w:p>
          <w:p>
            <w:pPr>
              <w:pStyle w:val="0"/>
              <w:jc w:val="both"/>
            </w:pPr>
            <w:r>
              <w:rPr>
                <w:sz w:val="20"/>
              </w:rPr>
              <w:t xml:space="preserve">от 11 до 20 - 50 баллов;</w:t>
            </w:r>
          </w:p>
          <w:p>
            <w:pPr>
              <w:pStyle w:val="0"/>
              <w:jc w:val="both"/>
            </w:pPr>
            <w:r>
              <w:rPr>
                <w:sz w:val="20"/>
              </w:rPr>
              <w:t xml:space="preserve">от 21 до 30 - 80 баллов;</w:t>
            </w:r>
          </w:p>
          <w:p>
            <w:pPr>
              <w:pStyle w:val="0"/>
              <w:jc w:val="both"/>
            </w:pPr>
            <w:r>
              <w:rPr>
                <w:sz w:val="20"/>
              </w:rPr>
              <w:t xml:space="preserve">от 31 и более - 100 баллов</w:t>
            </w:r>
          </w:p>
        </w:tc>
      </w:tr>
      <w:tr>
        <w:tc>
          <w:tcPr>
            <w:tcW w:w="566" w:type="dxa"/>
          </w:tcPr>
          <w:p>
            <w:pPr>
              <w:pStyle w:val="0"/>
              <w:jc w:val="center"/>
            </w:pPr>
            <w:r>
              <w:rPr>
                <w:sz w:val="20"/>
              </w:rPr>
              <w:t xml:space="preserve">6</w:t>
            </w:r>
          </w:p>
        </w:tc>
        <w:tc>
          <w:tcPr>
            <w:tcW w:w="1871" w:type="dxa"/>
          </w:tcPr>
          <w:p>
            <w:pPr>
              <w:pStyle w:val="0"/>
            </w:pPr>
            <w:r>
              <w:rPr>
                <w:sz w:val="20"/>
              </w:rPr>
              <w:t xml:space="preserve">Численность граждан, которые будут принимать участие в реализации проекта, с учетом добровольцев</w:t>
            </w:r>
          </w:p>
        </w:tc>
        <w:tc>
          <w:tcPr>
            <w:tcW w:w="1531" w:type="dxa"/>
          </w:tcPr>
          <w:p>
            <w:pPr>
              <w:pStyle w:val="0"/>
              <w:jc w:val="center"/>
            </w:pPr>
            <w:r>
              <w:rPr>
                <w:sz w:val="20"/>
              </w:rPr>
              <w:t xml:space="preserve">0,2</w:t>
            </w:r>
          </w:p>
        </w:tc>
        <w:tc>
          <w:tcPr>
            <w:tcW w:w="5102" w:type="dxa"/>
          </w:tcPr>
          <w:p>
            <w:pPr>
              <w:pStyle w:val="0"/>
              <w:jc w:val="both"/>
            </w:pPr>
            <w:r>
              <w:rPr>
                <w:sz w:val="20"/>
              </w:rPr>
              <w:t xml:space="preserve">в реализации проекта ресурсного центра примут участие от 1 до 100 граждан - 10 баллов;</w:t>
            </w:r>
          </w:p>
          <w:p>
            <w:pPr>
              <w:pStyle w:val="0"/>
              <w:jc w:val="both"/>
            </w:pPr>
            <w:r>
              <w:rPr>
                <w:sz w:val="20"/>
              </w:rPr>
              <w:t xml:space="preserve">в реализации проекта ресурсного центра примут участие от 101 до 200 граждан - 50 баллов;</w:t>
            </w:r>
          </w:p>
          <w:p>
            <w:pPr>
              <w:pStyle w:val="0"/>
              <w:jc w:val="both"/>
            </w:pPr>
            <w:r>
              <w:rPr>
                <w:sz w:val="20"/>
              </w:rPr>
              <w:t xml:space="preserve">в реализации проекта ресурсного центра примут участие от 201 до 300 граждан - 80 баллов;</w:t>
            </w:r>
          </w:p>
          <w:p>
            <w:pPr>
              <w:pStyle w:val="0"/>
              <w:jc w:val="both"/>
            </w:pPr>
            <w:r>
              <w:rPr>
                <w:sz w:val="20"/>
              </w:rPr>
              <w:t xml:space="preserve">в реализации проекта ресурсного центра примут участие от 301 и более граждан - 100 баллов</w:t>
            </w:r>
          </w:p>
        </w:tc>
      </w:tr>
    </w:tbl>
    <w:p>
      <w:pPr>
        <w:pStyle w:val="0"/>
        <w:ind w:firstLine="540"/>
        <w:jc w:val="both"/>
      </w:pPr>
      <w:r>
        <w:rPr>
          <w:sz w:val="20"/>
        </w:rPr>
      </w:r>
    </w:p>
    <w:p>
      <w:pPr>
        <w:pStyle w:val="0"/>
        <w:ind w:firstLine="540"/>
        <w:jc w:val="both"/>
      </w:pPr>
      <w:r>
        <w:rPr>
          <w:sz w:val="20"/>
        </w:rPr>
        <w:t xml:space="preserve">По результатам оценки заявок членами конкурсной комиссии, участвующими в рассмотрении заявки, в системе "Электронный бюджет" рассчитывается балл заявки.</w:t>
      </w:r>
    </w:p>
    <w:p>
      <w:pPr>
        <w:pStyle w:val="0"/>
        <w:spacing w:before="200" w:line-rule="auto"/>
        <w:ind w:firstLine="540"/>
        <w:jc w:val="both"/>
      </w:pPr>
      <w:r>
        <w:rPr>
          <w:sz w:val="20"/>
        </w:rPr>
        <w:t xml:space="preserve">Балл заявки определяется как среднее арифметическое количество баллов, полученных по результатам оценки заявки от каждого члена конкурсной комиссии, участвующего в рассмотрении заявки, по каждому критерию, умноженное на коэффициент значимости по каждому критерию.</w:t>
      </w:r>
    </w:p>
    <w:p>
      <w:pPr>
        <w:pStyle w:val="0"/>
        <w:spacing w:before="200" w:line-rule="auto"/>
        <w:ind w:firstLine="540"/>
        <w:jc w:val="both"/>
      </w:pPr>
      <w:r>
        <w:rPr>
          <w:sz w:val="20"/>
        </w:rPr>
        <w:t xml:space="preserve">При этом среднее арифметическое количество баллов определяется путем суммирования баллов, присвоенных каждым членом конкурсной комиссии, участвующим в оценке заявки, и последующего деления на количество членов конкурсной комиссии, участвующих в оценке заявки.</w:t>
      </w:r>
    </w:p>
    <w:p>
      <w:pPr>
        <w:pStyle w:val="0"/>
        <w:spacing w:before="200" w:line-rule="auto"/>
        <w:ind w:firstLine="540"/>
        <w:jc w:val="both"/>
      </w:pPr>
      <w:r>
        <w:rPr>
          <w:sz w:val="20"/>
        </w:rPr>
        <w:t xml:space="preserve">Каждая заявка оценивается не менее чем двумя членами конкурсной комиссии.</w:t>
      </w:r>
    </w:p>
    <w:p>
      <w:pPr>
        <w:pStyle w:val="0"/>
        <w:spacing w:before="200" w:line-rule="auto"/>
        <w:ind w:firstLine="540"/>
        <w:jc w:val="both"/>
      </w:pPr>
      <w:r>
        <w:rPr>
          <w:sz w:val="20"/>
        </w:rPr>
        <w:t xml:space="preserve">Победителями конкурса признаются ресурсные центры, включенные в рейтинг, сформированный по результатам ранжирования заявок по мере уменьшения полученных баллов по итогам оценки заявок и очередности поступления заявок в случае равенства количества полученных баллов исходя из размера грантов, определяемого в соответствии с </w:t>
      </w:r>
      <w:hyperlink w:history="0" w:anchor="P1792" w:tooltip="27. Размер гранта определяется в соответствии с запрашиваемым размером гранта, указанным в заявке, но не более максимального размера гранта, установленного в объявлении о проведении конкурса.">
        <w:r>
          <w:rPr>
            <w:sz w:val="20"/>
            <w:color w:val="0000ff"/>
          </w:rPr>
          <w:t xml:space="preserve">пунктом 27</w:t>
        </w:r>
      </w:hyperlink>
      <w:r>
        <w:rPr>
          <w:sz w:val="20"/>
        </w:rPr>
        <w:t xml:space="preserve"> Порядка и в пределах объема распределяемого гранта, указанного в объявлении о проведении конкурса.</w:t>
      </w:r>
    </w:p>
    <w:p>
      <w:pPr>
        <w:pStyle w:val="0"/>
        <w:jc w:val="both"/>
      </w:pPr>
      <w:r>
        <w:rPr>
          <w:sz w:val="20"/>
        </w:rPr>
        <w:t xml:space="preserve">(п. 22 в ред. </w:t>
      </w:r>
      <w:hyperlink w:history="0" r:id="rId49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763" w:name="P1763"/>
    <w:bookmarkEnd w:id="1763"/>
    <w:p>
      <w:pPr>
        <w:pStyle w:val="0"/>
        <w:spacing w:before="200" w:line-rule="auto"/>
        <w:ind w:firstLine="540"/>
        <w:jc w:val="both"/>
      </w:pPr>
      <w:r>
        <w:rPr>
          <w:sz w:val="20"/>
        </w:rPr>
        <w:t xml:space="preserve">23. В состав конкурсной комиссии входят председатель комиссии, заместитель председателя комиссии, секретарь комиссии и члены комиссии. В состав конкурсной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w:t>
      </w:r>
    </w:p>
    <w:p>
      <w:pPr>
        <w:pStyle w:val="0"/>
        <w:spacing w:before="200" w:line-rule="auto"/>
        <w:ind w:firstLine="540"/>
        <w:jc w:val="both"/>
      </w:pPr>
      <w:r>
        <w:rPr>
          <w:sz w:val="20"/>
        </w:rPr>
        <w:t xml:space="preserve">Число членов конкурсной комиссии, замещающих государственные должности Новосибирской области, должности государственной гражданской службы, муниципальной службы, муниципальные должности, должно составлять не более одной трети от общего числа членов конкурсной комиссии.</w:t>
      </w:r>
    </w:p>
    <w:p>
      <w:pPr>
        <w:pStyle w:val="0"/>
        <w:spacing w:before="200" w:line-rule="auto"/>
        <w:ind w:firstLine="540"/>
        <w:jc w:val="both"/>
      </w:pPr>
      <w:r>
        <w:rPr>
          <w:sz w:val="20"/>
        </w:rPr>
        <w:t xml:space="preserve">24. В целях определения победителей конкурса в срок, установленный </w:t>
      </w:r>
      <w:hyperlink w:history="0" w:anchor="P1712" w:tooltip="22. Для определения победителя конкурса заявки оцениваются конкурсной комиссией, сформированной в соответствии с пунктом 23 Порядка, не позднее 25 рабочих дней со дня размещения протокола рассмотрения заявок на едином портале по следующим критериям:">
        <w:r>
          <w:rPr>
            <w:sz w:val="20"/>
            <w:color w:val="0000ff"/>
          </w:rPr>
          <w:t xml:space="preserve">абзацем первым пункта 22</w:t>
        </w:r>
      </w:hyperlink>
      <w:r>
        <w:rPr>
          <w:sz w:val="20"/>
        </w:rPr>
        <w:t xml:space="preserve"> Порядка, формируется протокол подведения итогов конкурса.</w:t>
      </w:r>
    </w:p>
    <w:p>
      <w:pPr>
        <w:pStyle w:val="0"/>
        <w:jc w:val="both"/>
      </w:pPr>
      <w:r>
        <w:rPr>
          <w:sz w:val="20"/>
        </w:rPr>
        <w:t xml:space="preserve">(в ред. </w:t>
      </w:r>
      <w:hyperlink w:history="0" r:id="rId49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конкурса включает следующие сведения:</w:t>
      </w:r>
    </w:p>
    <w:p>
      <w:pPr>
        <w:pStyle w:val="0"/>
        <w:jc w:val="both"/>
      </w:pPr>
      <w:r>
        <w:rPr>
          <w:sz w:val="20"/>
        </w:rPr>
        <w:t xml:space="preserve">(в ред. </w:t>
      </w:r>
      <w:hyperlink w:history="0" r:id="rId49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дату, время и место проведения рассмотрения заявок;</w:t>
      </w:r>
    </w:p>
    <w:p>
      <w:pPr>
        <w:pStyle w:val="0"/>
        <w:spacing w:before="200" w:line-rule="auto"/>
        <w:ind w:firstLine="540"/>
        <w:jc w:val="both"/>
      </w:pPr>
      <w:r>
        <w:rPr>
          <w:sz w:val="20"/>
        </w:rPr>
        <w:t xml:space="preserve">2) дату, время и место оценки заявок ресурсных центров;</w:t>
      </w:r>
    </w:p>
    <w:p>
      <w:pPr>
        <w:pStyle w:val="0"/>
        <w:spacing w:before="200" w:line-rule="auto"/>
        <w:ind w:firstLine="540"/>
        <w:jc w:val="both"/>
      </w:pPr>
      <w:r>
        <w:rPr>
          <w:sz w:val="20"/>
        </w:rPr>
        <w:t xml:space="preserve">3) информацию о ресурсных центрах, заявки которых были рассмотрены;</w:t>
      </w:r>
    </w:p>
    <w:p>
      <w:pPr>
        <w:pStyle w:val="0"/>
        <w:spacing w:before="200" w:line-rule="auto"/>
        <w:ind w:firstLine="540"/>
        <w:jc w:val="both"/>
      </w:pPr>
      <w:r>
        <w:rPr>
          <w:sz w:val="20"/>
        </w:rPr>
        <w:t xml:space="preserve">4) информацию о ресурсных центрах,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pPr>
        <w:pStyle w:val="0"/>
        <w:spacing w:before="200" w:line-rule="auto"/>
        <w:ind w:firstLine="540"/>
        <w:jc w:val="both"/>
      </w:pPr>
      <w:r>
        <w:rPr>
          <w:sz w:val="20"/>
        </w:rPr>
        <w:t xml:space="preserve">5) последовательность оценки заявок ресурсных центров, присвоенные заявкам значения по каждому из предусмотренных критериев оценки заявок ресурсных центров, принятое на основании результатов оценки указанных заявок решение о присвоении таким заявкам порядковых номеров;</w:t>
      </w:r>
    </w:p>
    <w:p>
      <w:pPr>
        <w:pStyle w:val="0"/>
        <w:spacing w:before="200" w:line-rule="auto"/>
        <w:ind w:firstLine="540"/>
        <w:jc w:val="both"/>
      </w:pPr>
      <w:r>
        <w:rPr>
          <w:sz w:val="20"/>
        </w:rPr>
        <w:t xml:space="preserve">6) наименование ресурсных центров - победителей конкурса (получателей гранта), с которыми заключается соглашение по результатам конкурса, их ОГРН, идентификационный номер налогоплательщика, название и краткое описание проекта, на осуществление которого предоставляется грант, его размер;</w:t>
      </w:r>
    </w:p>
    <w:p>
      <w:pPr>
        <w:pStyle w:val="0"/>
        <w:spacing w:before="200" w:line-rule="auto"/>
        <w:ind w:firstLine="540"/>
        <w:jc w:val="both"/>
      </w:pPr>
      <w:r>
        <w:rPr>
          <w:sz w:val="20"/>
        </w:rPr>
        <w:t xml:space="preserve">7) информацию об участниках заседания конкурсной комиссии, о результатах голосования (в том числе о лицах, голосовавших против принятия решения, об особом мнении участников заседания конкурсной комиссии, которое они внесли в протокол).</w:t>
      </w:r>
    </w:p>
    <w:p>
      <w:pPr>
        <w:pStyle w:val="0"/>
        <w:jc w:val="both"/>
      </w:pPr>
      <w:r>
        <w:rPr>
          <w:sz w:val="20"/>
        </w:rPr>
        <w:t xml:space="preserve">(в ред. </w:t>
      </w:r>
      <w:hyperlink w:history="0" r:id="rId50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конкурса автоматически формируется на едином портале на основании результатов определения победителей конкурса, подписывается усиленной квалифицированной электронной подписью председателя и членов конкурсной комиссии в системе "Электронный бюджет", а также размещается на едином портале не позднее одного рабочего дня, следующего за днем его подписания. Одновременно протокол размещается министерством на его официальном сайте в сети "Интернет".</w:t>
      </w:r>
    </w:p>
    <w:p>
      <w:pPr>
        <w:pStyle w:val="0"/>
        <w:jc w:val="both"/>
      </w:pPr>
      <w:r>
        <w:rPr>
          <w:sz w:val="20"/>
        </w:rPr>
        <w:t xml:space="preserve">(в ред. </w:t>
      </w:r>
      <w:hyperlink w:history="0" r:id="rId50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Внесение изменений в протокол подведения итогов конкурса осуществляется не позднее 10 календарных дней со дня подписания первой версии протокола подведения итогов конкурса путем формирования новой версии указанного протокола с указанием причин внесения изменений.</w:t>
      </w:r>
    </w:p>
    <w:p>
      <w:pPr>
        <w:pStyle w:val="0"/>
        <w:jc w:val="both"/>
      </w:pPr>
      <w:r>
        <w:rPr>
          <w:sz w:val="20"/>
        </w:rPr>
        <w:t xml:space="preserve">(в ред. </w:t>
      </w:r>
      <w:hyperlink w:history="0" r:id="rId50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781" w:name="P1781"/>
    <w:bookmarkEnd w:id="1781"/>
    <w:p>
      <w:pPr>
        <w:pStyle w:val="0"/>
        <w:spacing w:before="200" w:line-rule="auto"/>
        <w:ind w:firstLine="540"/>
        <w:jc w:val="both"/>
      </w:pPr>
      <w:r>
        <w:rPr>
          <w:sz w:val="20"/>
        </w:rPr>
        <w:t xml:space="preserve">25. В течение пяти рабочих дней со дня размещения на едином портале протокола подведения итогов конкурса издает приказ о результатах конкурса с указанием ресурсных центров - победителей конкурса и размера предоставляемых им грантов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w:t>
      </w:r>
    </w:p>
    <w:p>
      <w:pPr>
        <w:pStyle w:val="0"/>
        <w:jc w:val="both"/>
      </w:pPr>
      <w:r>
        <w:rPr>
          <w:sz w:val="20"/>
        </w:rPr>
        <w:t xml:space="preserve">(в ред. </w:t>
      </w:r>
      <w:hyperlink w:history="0" r:id="rId50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26. Конкурс признается несостоявшимся в следующих случаях:</w:t>
      </w:r>
    </w:p>
    <w:p>
      <w:pPr>
        <w:pStyle w:val="0"/>
        <w:spacing w:before="200" w:line-rule="auto"/>
        <w:ind w:firstLine="540"/>
        <w:jc w:val="both"/>
      </w:pPr>
      <w:r>
        <w:rPr>
          <w:sz w:val="20"/>
        </w:rPr>
        <w:t xml:space="preserve">1) по окончании срока подачи заявок не подано ни одной заявки;</w:t>
      </w:r>
    </w:p>
    <w:p>
      <w:pPr>
        <w:pStyle w:val="0"/>
        <w:spacing w:before="200" w:line-rule="auto"/>
        <w:ind w:firstLine="540"/>
        <w:jc w:val="both"/>
      </w:pPr>
      <w:r>
        <w:rPr>
          <w:sz w:val="20"/>
        </w:rPr>
        <w:t xml:space="preserve">2) по результатам рассмотрения заявок отклонены все заявки.</w:t>
      </w:r>
    </w:p>
    <w:p>
      <w:pPr>
        <w:pStyle w:val="0"/>
        <w:spacing w:before="200" w:line-rule="auto"/>
        <w:ind w:firstLine="540"/>
        <w:jc w:val="both"/>
      </w:pPr>
      <w:r>
        <w:rPr>
          <w:sz w:val="20"/>
        </w:rPr>
        <w:t xml:space="preserve">В течение пяти рабочих дней со дня окончания срока подачи заявок в случае отсутствия поданных заявок либо в течение 15 рабочих дней со дня окончания срока приема заявок в случае отклонения всех заявок министерство издает приказ о признании конкурса несостоявшимся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вместе с объявлением о признании конкурса несостоявшимся.</w:t>
      </w:r>
    </w:p>
    <w:p>
      <w:pPr>
        <w:pStyle w:val="0"/>
        <w:jc w:val="both"/>
      </w:pPr>
      <w:r>
        <w:rPr>
          <w:sz w:val="20"/>
        </w:rPr>
        <w:t xml:space="preserve">(в ред. </w:t>
      </w:r>
      <w:hyperlink w:history="0" r:id="rId50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Абзац утратил силу. - </w:t>
      </w:r>
      <w:hyperlink w:history="0" r:id="rId50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Условия и порядок предоставления грантов</w:t>
      </w:r>
    </w:p>
    <w:p>
      <w:pPr>
        <w:pStyle w:val="0"/>
        <w:ind w:firstLine="540"/>
        <w:jc w:val="both"/>
      </w:pPr>
      <w:r>
        <w:rPr>
          <w:sz w:val="20"/>
        </w:rPr>
      </w:r>
    </w:p>
    <w:bookmarkStart w:id="1792" w:name="P1792"/>
    <w:bookmarkEnd w:id="1792"/>
    <w:p>
      <w:pPr>
        <w:pStyle w:val="0"/>
        <w:ind w:firstLine="540"/>
        <w:jc w:val="both"/>
      </w:pPr>
      <w:r>
        <w:rPr>
          <w:sz w:val="20"/>
        </w:rPr>
        <w:t xml:space="preserve">27. Размер гранта определяется в соответствии с запрашиваемым размером гранта, указанным в заявке, но не более максимального размера гранта, установленного в объявлении о проведении конкурса.</w:t>
      </w:r>
    </w:p>
    <w:bookmarkStart w:id="1793" w:name="P1793"/>
    <w:bookmarkEnd w:id="1793"/>
    <w:p>
      <w:pPr>
        <w:pStyle w:val="0"/>
        <w:spacing w:before="200" w:line-rule="auto"/>
        <w:ind w:firstLine="540"/>
        <w:jc w:val="both"/>
      </w:pPr>
      <w:r>
        <w:rPr>
          <w:sz w:val="20"/>
        </w:rPr>
        <w:t xml:space="preserve">28. Результатом, в целях достижения которого предоставляется грант (далее - результат предоставления гранта), является реализованный проект ресурсного центра.</w:t>
      </w:r>
    </w:p>
    <w:p>
      <w:pPr>
        <w:pStyle w:val="0"/>
        <w:spacing w:before="200" w:line-rule="auto"/>
        <w:ind w:firstLine="540"/>
        <w:jc w:val="both"/>
      </w:pPr>
      <w:r>
        <w:rPr>
          <w:sz w:val="20"/>
        </w:rPr>
        <w:t xml:space="preserve">Характеристиками результата предоставления гранта (показателями, необходимыми для достижения результата предоставления гранта) (далее - характеристика результата предоставления гранта) являются:</w:t>
      </w:r>
    </w:p>
    <w:p>
      <w:pPr>
        <w:pStyle w:val="0"/>
        <w:spacing w:before="200" w:line-rule="auto"/>
        <w:ind w:firstLine="540"/>
        <w:jc w:val="both"/>
      </w:pPr>
      <w:r>
        <w:rPr>
          <w:sz w:val="20"/>
        </w:rPr>
        <w:t xml:space="preserve">численность граждан, принимающих участие в деятельности социально ориентированной некоммерческой организации, связанной с реализацией социально значимых проектов и программ, получившей государственную поддержку;</w:t>
      </w:r>
    </w:p>
    <w:p>
      <w:pPr>
        <w:pStyle w:val="0"/>
        <w:spacing w:before="200" w:line-rule="auto"/>
        <w:ind w:firstLine="540"/>
        <w:jc w:val="both"/>
      </w:pPr>
      <w:r>
        <w:rPr>
          <w:sz w:val="20"/>
        </w:rPr>
        <w:t xml:space="preserve">численность граждан, в интересах которых осуществляется деятельность социально ориентированной некоммерческой организации, получившей государственную поддержку.</w:t>
      </w:r>
    </w:p>
    <w:p>
      <w:pPr>
        <w:pStyle w:val="0"/>
        <w:spacing w:before="200" w:line-rule="auto"/>
        <w:ind w:firstLine="540"/>
        <w:jc w:val="both"/>
      </w:pPr>
      <w:r>
        <w:rPr>
          <w:sz w:val="20"/>
        </w:rPr>
        <w:t xml:space="preserve">Характеристики результата предоставления гранта устанавливаются министерством в соглашении исходя из показателей, указанных в заявке ресурсного центра - победителя конкурса.</w:t>
      </w:r>
    </w:p>
    <w:p>
      <w:pPr>
        <w:pStyle w:val="0"/>
        <w:jc w:val="both"/>
      </w:pPr>
      <w:r>
        <w:rPr>
          <w:sz w:val="20"/>
        </w:rPr>
        <w:t xml:space="preserve">(п. 28 в ред. </w:t>
      </w:r>
      <w:hyperlink w:history="0" r:id="rId50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29. Грант предоставляется на основании соглашения, заключаемого между министерством и ресурсным центром - победителем конкурса.</w:t>
      </w:r>
    </w:p>
    <w:p>
      <w:pPr>
        <w:pStyle w:val="0"/>
        <w:spacing w:before="200" w:line-rule="auto"/>
        <w:ind w:firstLine="540"/>
        <w:jc w:val="both"/>
      </w:pPr>
      <w:r>
        <w:rPr>
          <w:sz w:val="20"/>
        </w:rPr>
        <w:t xml:space="preserve">30. Министерство в течение 30 рабочих дней со дня размещения на едином портале протокола подведения итогов конкурса обеспечивает размещение проекта соглашения в системе "Электронный бюджет".</w:t>
      </w:r>
    </w:p>
    <w:p>
      <w:pPr>
        <w:pStyle w:val="0"/>
        <w:jc w:val="both"/>
      </w:pPr>
      <w:r>
        <w:rPr>
          <w:sz w:val="20"/>
        </w:rPr>
        <w:t xml:space="preserve">(п. 30 в ред. </w:t>
      </w:r>
      <w:hyperlink w:history="0" r:id="rId50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31. В случае невозможности предоставления гранта в текущем финансовом году в связи с недостаточностью лимитов бюджетных обязательств министерство согласует с получателем гранта новые условия исполнения соглашения (уточнение финансового обеспечения предоставления гранта в счет лимитов бюджетных обязательств очередного финансового года и уточнение сроков исполнения соглашения или расторжение заключенного соглашения).</w:t>
      </w:r>
    </w:p>
    <w:p>
      <w:pPr>
        <w:pStyle w:val="0"/>
        <w:spacing w:before="200" w:line-rule="auto"/>
        <w:ind w:firstLine="540"/>
        <w:jc w:val="both"/>
      </w:pPr>
      <w:r>
        <w:rPr>
          <w:sz w:val="20"/>
        </w:rPr>
        <w:t xml:space="preserve">32. Министерство отказывает ресурсному центру - победителю конкурса в заключении соглашения по следующим основаниям:</w:t>
      </w:r>
    </w:p>
    <w:p>
      <w:pPr>
        <w:pStyle w:val="0"/>
        <w:spacing w:before="200" w:line-rule="auto"/>
        <w:ind w:firstLine="540"/>
        <w:jc w:val="both"/>
      </w:pPr>
      <w:r>
        <w:rPr>
          <w:sz w:val="20"/>
        </w:rPr>
        <w:t xml:space="preserve">1) несоответствие представленных ресурсным центром - победителем конкурса документов требованиям, определенным </w:t>
      </w:r>
      <w:hyperlink w:history="0" w:anchor="P1564" w:tooltip="5. К категории получателей грантов, имеющих право на получение грантов, относятся социально ориентированные некоммерческие организации,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сти&quot;, за...">
        <w:r>
          <w:rPr>
            <w:sz w:val="20"/>
            <w:color w:val="0000ff"/>
          </w:rPr>
          <w:t xml:space="preserve">пунктами 5</w:t>
        </w:r>
      </w:hyperlink>
      <w:r>
        <w:rPr>
          <w:sz w:val="20"/>
        </w:rPr>
        <w:t xml:space="preserve">, </w:t>
      </w:r>
      <w:hyperlink w:history="0" w:anchor="P1637" w:tooltip="12. Ресурсный центр должен соответствовать следующим требованиям:">
        <w:r>
          <w:rPr>
            <w:sz w:val="20"/>
            <w:color w:val="0000ff"/>
          </w:rPr>
          <w:t xml:space="preserve">12</w:t>
        </w:r>
      </w:hyperlink>
      <w:r>
        <w:rPr>
          <w:sz w:val="20"/>
        </w:rPr>
        <w:t xml:space="preserve"> Порядка, или непредставление (представление не в полном объеме) указанных документов;</w:t>
      </w:r>
    </w:p>
    <w:p>
      <w:pPr>
        <w:pStyle w:val="0"/>
        <w:spacing w:before="200" w:line-rule="auto"/>
        <w:ind w:firstLine="540"/>
        <w:jc w:val="both"/>
      </w:pPr>
      <w:r>
        <w:rPr>
          <w:sz w:val="20"/>
        </w:rPr>
        <w:t xml:space="preserve">2) установление факта недостоверности представленной ресурсным центром - победителем конкурса информации.</w:t>
      </w:r>
    </w:p>
    <w:p>
      <w:pPr>
        <w:pStyle w:val="0"/>
        <w:spacing w:before="200" w:line-rule="auto"/>
        <w:ind w:firstLine="540"/>
        <w:jc w:val="both"/>
      </w:pPr>
      <w:r>
        <w:rPr>
          <w:sz w:val="20"/>
        </w:rPr>
        <w:t xml:space="preserve">При наличии оснований для отказа в заключении соглашения, указанных в настоящем пункте, министерство в течение десяти рабочих дней с момента выявления оснований для отказа направляет ресурсному центру - победителю конкурса письменное уведомление об отказе в заключении соглашения с указанием причин такого отказа по адресу, указанному в заявке.</w:t>
      </w:r>
    </w:p>
    <w:p>
      <w:pPr>
        <w:pStyle w:val="0"/>
        <w:spacing w:before="200" w:line-rule="auto"/>
        <w:ind w:firstLine="540"/>
        <w:jc w:val="both"/>
      </w:pPr>
      <w:r>
        <w:rPr>
          <w:sz w:val="20"/>
        </w:rPr>
        <w:t xml:space="preserve">33. Ресурсный центр - победитель конкурса обеспечивает подписание проекта соглашения в системе "Электронный бюджет" в течение десяти рабочих дней со дня его размещения министерством. В случае отказа от подписания соглашения в течение указанного срока ресурсный центр считается уклонившимся от заключения соглашения.</w:t>
      </w:r>
    </w:p>
    <w:p>
      <w:pPr>
        <w:pStyle w:val="0"/>
        <w:jc w:val="both"/>
      </w:pPr>
      <w:r>
        <w:rPr>
          <w:sz w:val="20"/>
        </w:rPr>
        <w:t xml:space="preserve">(п. 33 в ред. </w:t>
      </w:r>
      <w:hyperlink w:history="0" r:id="rId50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34. Соглашение, дополнительное соглашение о внесении изменений, а также дополнительное соглашение о расторжении соглашения (при необходимости) подготавливаются (формируются) и заключаются в системе "Электронный бюджет" в соответствии с типовой формой, установленной министерством финансов и налоговой политики Новосибирской области.</w:t>
      </w:r>
    </w:p>
    <w:p>
      <w:pPr>
        <w:pStyle w:val="0"/>
        <w:spacing w:before="200" w:line-rule="auto"/>
        <w:ind w:firstLine="540"/>
        <w:jc w:val="both"/>
      </w:pPr>
      <w:r>
        <w:rPr>
          <w:sz w:val="20"/>
        </w:rPr>
        <w:t xml:space="preserve">35. В соглашении указываются:</w:t>
      </w:r>
    </w:p>
    <w:p>
      <w:pPr>
        <w:pStyle w:val="0"/>
        <w:spacing w:before="200" w:line-rule="auto"/>
        <w:ind w:firstLine="540"/>
        <w:jc w:val="both"/>
      </w:pPr>
      <w:r>
        <w:rPr>
          <w:sz w:val="20"/>
        </w:rPr>
        <w:t xml:space="preserve">1) результаты предоставления гранта и характеристики результата предоставления гранта;</w:t>
      </w:r>
    </w:p>
    <w:p>
      <w:pPr>
        <w:pStyle w:val="0"/>
        <w:jc w:val="both"/>
      </w:pPr>
      <w:r>
        <w:rPr>
          <w:sz w:val="20"/>
        </w:rPr>
        <w:t xml:space="preserve">(пп. 1 в ред. </w:t>
      </w:r>
      <w:hyperlink w:history="0" r:id="rId50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срок (периодичность) перечисления гранта в соответствии с бюджетным законодательством Российской Федерации;</w:t>
      </w:r>
    </w:p>
    <w:bookmarkStart w:id="1814" w:name="P1814"/>
    <w:bookmarkEnd w:id="1814"/>
    <w:p>
      <w:pPr>
        <w:pStyle w:val="0"/>
        <w:spacing w:before="200" w:line-rule="auto"/>
        <w:ind w:firstLine="540"/>
        <w:jc w:val="both"/>
      </w:pPr>
      <w:r>
        <w:rPr>
          <w:sz w:val="20"/>
        </w:rPr>
        <w:t xml:space="preserve">3) счет (счета), на который (которые) перечисляется грант, с учетом положений, установленных бюджетным законодательством Российской Федерации;</w:t>
      </w:r>
    </w:p>
    <w:p>
      <w:pPr>
        <w:pStyle w:val="0"/>
        <w:spacing w:before="200" w:line-rule="auto"/>
        <w:ind w:firstLine="540"/>
        <w:jc w:val="both"/>
      </w:pPr>
      <w:r>
        <w:rPr>
          <w:sz w:val="20"/>
        </w:rPr>
        <w:t xml:space="preserve">4) условие о согласии ресурсного центра и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грантов на финансовое обеспечение затрат ресурсного центра, на осуществление министерством в отношении их проверки соблюдения порядка и условий предоставления гранта, в том числе в части достижения результатов предоставления гранта, а также проверки органом государственного финансового контроля соблюдения ресурсным центром порядка и условий предоставления гранта в соответствии со </w:t>
      </w:r>
      <w:hyperlink w:history="0" r:id="rId510"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511"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5) запрет приобретения за счет средств, предоставленных на финансовое обеспечение затрат ресурсного центра,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Порядком;</w:t>
      </w:r>
    </w:p>
    <w:p>
      <w:pPr>
        <w:pStyle w:val="0"/>
        <w:spacing w:before="200" w:line-rule="auto"/>
        <w:ind w:firstLine="540"/>
        <w:jc w:val="both"/>
      </w:pPr>
      <w:r>
        <w:rPr>
          <w:sz w:val="20"/>
        </w:rPr>
        <w:t xml:space="preserve">6)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приводящего к невозможности предоставления гранта в размере, определенном в соглашении.</w:t>
      </w:r>
    </w:p>
    <w:p>
      <w:pPr>
        <w:pStyle w:val="0"/>
        <w:spacing w:before="200" w:line-rule="auto"/>
        <w:ind w:firstLine="540"/>
        <w:jc w:val="both"/>
      </w:pPr>
      <w:r>
        <w:rPr>
          <w:sz w:val="20"/>
        </w:rPr>
        <w:t xml:space="preserve">36. После заключения соглашения министерство в течение 20 рабочих дней перечисляет грант на счет (счета) ресурсного центра, указанный (указанные) в соглашении в соответствии с </w:t>
      </w:r>
      <w:hyperlink w:history="0" w:anchor="P1814" w:tooltip="3) счет (счета), на который (которые) перечисляется грант, с учетом положений, установленных бюджетным законодательством Российской Федерации;">
        <w:r>
          <w:rPr>
            <w:sz w:val="20"/>
            <w:color w:val="0000ff"/>
          </w:rPr>
          <w:t xml:space="preserve">подпунктом 3 пункта 35</w:t>
        </w:r>
      </w:hyperlink>
      <w:r>
        <w:rPr>
          <w:sz w:val="20"/>
        </w:rPr>
        <w:t xml:space="preserve"> Порядка.</w:t>
      </w:r>
    </w:p>
    <w:p>
      <w:pPr>
        <w:pStyle w:val="0"/>
        <w:spacing w:before="200" w:line-rule="auto"/>
        <w:ind w:firstLine="540"/>
        <w:jc w:val="both"/>
      </w:pPr>
      <w:r>
        <w:rPr>
          <w:sz w:val="20"/>
        </w:rPr>
        <w:t xml:space="preserve">37. Грант предоставляется на основании подписанного ресурсным центром и министерством соглашения в пределах лимитов бюджетных обязательств, установленных министерству на текущий финансовый год в соответствии со сводной бюджетной росписью и кассовым планом областного бюджета.</w:t>
      </w:r>
    </w:p>
    <w:p>
      <w:pPr>
        <w:pStyle w:val="0"/>
        <w:spacing w:before="200" w:line-rule="auto"/>
        <w:ind w:firstLine="540"/>
        <w:jc w:val="both"/>
      </w:pPr>
      <w:r>
        <w:rPr>
          <w:sz w:val="20"/>
        </w:rPr>
        <w:t xml:space="preserve">38. Предоставленные гранты должны быть использованы в сроки, предусмотренные соглашениями.</w:t>
      </w:r>
    </w:p>
    <w:p>
      <w:pPr>
        <w:pStyle w:val="0"/>
        <w:spacing w:before="200" w:line-rule="auto"/>
        <w:ind w:firstLine="540"/>
        <w:jc w:val="both"/>
      </w:pPr>
      <w:r>
        <w:rPr>
          <w:sz w:val="20"/>
        </w:rPr>
        <w:t xml:space="preserve">Сроки использования гранта не ограничиваются финансовым годом, в котором предоставлены эти гранты.</w:t>
      </w:r>
    </w:p>
    <w:p>
      <w:pPr>
        <w:pStyle w:val="0"/>
        <w:ind w:firstLine="540"/>
        <w:jc w:val="both"/>
      </w:pPr>
      <w:r>
        <w:rPr>
          <w:sz w:val="20"/>
        </w:rPr>
      </w:r>
    </w:p>
    <w:p>
      <w:pPr>
        <w:pStyle w:val="2"/>
        <w:outlineLvl w:val="1"/>
        <w:jc w:val="center"/>
      </w:pPr>
      <w:r>
        <w:rPr>
          <w:sz w:val="20"/>
        </w:rPr>
        <w:t xml:space="preserve">Требования к отчетности</w:t>
      </w:r>
    </w:p>
    <w:p>
      <w:pPr>
        <w:pStyle w:val="0"/>
        <w:ind w:firstLine="540"/>
        <w:jc w:val="both"/>
      </w:pPr>
      <w:r>
        <w:rPr>
          <w:sz w:val="20"/>
        </w:rPr>
      </w:r>
    </w:p>
    <w:bookmarkStart w:id="1825" w:name="P1825"/>
    <w:bookmarkEnd w:id="1825"/>
    <w:p>
      <w:pPr>
        <w:pStyle w:val="0"/>
        <w:ind w:firstLine="540"/>
        <w:jc w:val="both"/>
      </w:pPr>
      <w:r>
        <w:rPr>
          <w:sz w:val="20"/>
        </w:rPr>
        <w:t xml:space="preserve">39. Отчет о достижении значений результатов предоставления гранта и характеристик результата предоставления гранта, отчет об осуществлении расходов, источником которых является грант, отчет о реализации плана мероприятий по достижению результатов предоставления гранта и характеристик результата предоставления гранта (контрольных точек) (далее - отчет) представляются в министерство ресурсным центром не реже одного раза в квартал по формам, определенным типовыми формами соглашений, установленным министерством финансов и налоговой политики Новосибирской области.</w:t>
      </w:r>
    </w:p>
    <w:p>
      <w:pPr>
        <w:pStyle w:val="0"/>
        <w:jc w:val="both"/>
      </w:pPr>
      <w:r>
        <w:rPr>
          <w:sz w:val="20"/>
        </w:rPr>
        <w:t xml:space="preserve">(в ред. </w:t>
      </w:r>
      <w:hyperlink w:history="0" r:id="rId51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вправе устанавливать в соглашении сроки и формы представления получателем гранта дополнительной отчетности.</w:t>
      </w:r>
    </w:p>
    <w:p>
      <w:pPr>
        <w:pStyle w:val="0"/>
        <w:spacing w:before="200" w:line-rule="auto"/>
        <w:ind w:firstLine="540"/>
        <w:jc w:val="both"/>
      </w:pPr>
      <w:r>
        <w:rPr>
          <w:sz w:val="20"/>
        </w:rPr>
        <w:t xml:space="preserve">40. Министерство осуществляет проверку отчетов в течение 60 рабочих дней со дня их поступления по результатам которой:</w:t>
      </w:r>
    </w:p>
    <w:p>
      <w:pPr>
        <w:pStyle w:val="0"/>
        <w:spacing w:before="200" w:line-rule="auto"/>
        <w:ind w:firstLine="540"/>
        <w:jc w:val="both"/>
      </w:pPr>
      <w:r>
        <w:rPr>
          <w:sz w:val="20"/>
        </w:rPr>
        <w:t xml:space="preserve">1) принимает отчет;</w:t>
      </w:r>
    </w:p>
    <w:p>
      <w:pPr>
        <w:pStyle w:val="0"/>
        <w:spacing w:before="200" w:line-rule="auto"/>
        <w:ind w:firstLine="540"/>
        <w:jc w:val="both"/>
      </w:pPr>
      <w:r>
        <w:rPr>
          <w:sz w:val="20"/>
        </w:rPr>
        <w:t xml:space="preserve">2) возвращает отчет получателю гранта на доработку при наличии замечаний. Получатель гранта дорабатывает отчет в течение десяти рабочих дней со дня его получения и представляет в министерство доработанный отчет для проведения повторной проверки.</w:t>
      </w:r>
    </w:p>
    <w:p>
      <w:pPr>
        <w:pStyle w:val="0"/>
        <w:jc w:val="both"/>
      </w:pPr>
      <w:r>
        <w:rPr>
          <w:sz w:val="20"/>
        </w:rPr>
        <w:t xml:space="preserve">(в ред. </w:t>
      </w:r>
      <w:hyperlink w:history="0" r:id="rId51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Получатель гранта несет ответственность за достоверность и своевременность представления отчетности, предусмотренной </w:t>
      </w:r>
      <w:hyperlink w:history="0" w:anchor="P1825" w:tooltip="39. Отчет о достижении значений результатов предоставления гранта и характеристик результата предоставления гранта, отчет об осуществлении расходов, источником которых является грант, отчет о реализации плана мероприятий по достижению результатов предоставления гранта и характеристик результата предоставления гранта (контрольных точек) (далее - отчет) представляются в министерство ресурсным центром не реже одного раза в квартал по формам, определенным типовыми формами соглашений, установленным министерст...">
        <w:r>
          <w:rPr>
            <w:sz w:val="20"/>
            <w:color w:val="0000ff"/>
          </w:rPr>
          <w:t xml:space="preserve">пунктом 39</w:t>
        </w:r>
      </w:hyperlink>
      <w:r>
        <w:rPr>
          <w:sz w:val="20"/>
        </w:rPr>
        <w:t xml:space="preserve"> Порядка.</w:t>
      </w:r>
    </w:p>
    <w:p>
      <w:pPr>
        <w:pStyle w:val="0"/>
        <w:ind w:firstLine="540"/>
        <w:jc w:val="both"/>
      </w:pPr>
      <w:r>
        <w:rPr>
          <w:sz w:val="20"/>
        </w:rPr>
      </w:r>
    </w:p>
    <w:p>
      <w:pPr>
        <w:pStyle w:val="2"/>
        <w:outlineLvl w:val="1"/>
        <w:jc w:val="center"/>
      </w:pPr>
      <w:r>
        <w:rPr>
          <w:sz w:val="20"/>
        </w:rPr>
        <w:t xml:space="preserve">Требования об осуществлении контроля (мониторинга)</w:t>
      </w:r>
    </w:p>
    <w:p>
      <w:pPr>
        <w:pStyle w:val="2"/>
        <w:jc w:val="center"/>
      </w:pPr>
      <w:r>
        <w:rPr>
          <w:sz w:val="20"/>
        </w:rPr>
        <w:t xml:space="preserve">за соблюдением условий и порядка предоставления</w:t>
      </w:r>
    </w:p>
    <w:p>
      <w:pPr>
        <w:pStyle w:val="2"/>
        <w:jc w:val="center"/>
      </w:pPr>
      <w:r>
        <w:rPr>
          <w:sz w:val="20"/>
        </w:rPr>
        <w:t xml:space="preserve">грантов и ответственности за их нарушение</w:t>
      </w:r>
    </w:p>
    <w:p>
      <w:pPr>
        <w:pStyle w:val="0"/>
        <w:ind w:firstLine="540"/>
        <w:jc w:val="both"/>
      </w:pPr>
      <w:r>
        <w:rPr>
          <w:sz w:val="20"/>
        </w:rPr>
      </w:r>
    </w:p>
    <w:p>
      <w:pPr>
        <w:pStyle w:val="0"/>
        <w:ind w:firstLine="540"/>
        <w:jc w:val="both"/>
      </w:pPr>
      <w:r>
        <w:rPr>
          <w:sz w:val="20"/>
        </w:rPr>
        <w:t xml:space="preserve">41. Получатель гранта несет ответственность за соблюдение условий и порядка предоставления гранта в соответствии с действующим законодательством Российской Федерации.</w:t>
      </w:r>
    </w:p>
    <w:p>
      <w:pPr>
        <w:pStyle w:val="0"/>
        <w:spacing w:before="200" w:line-rule="auto"/>
        <w:ind w:firstLine="540"/>
        <w:jc w:val="both"/>
      </w:pPr>
      <w:r>
        <w:rPr>
          <w:sz w:val="20"/>
        </w:rPr>
        <w:t xml:space="preserve">42. Министерство осуществляет проверку соблюдения получателем гранта порядка и условий предоставления грантов, в том числе в части достижения результатов предоставления гранта и характеристик результата предоставления гранта.</w:t>
      </w:r>
    </w:p>
    <w:p>
      <w:pPr>
        <w:pStyle w:val="0"/>
        <w:jc w:val="both"/>
      </w:pPr>
      <w:r>
        <w:rPr>
          <w:sz w:val="20"/>
        </w:rPr>
        <w:t xml:space="preserve">(в ред. </w:t>
      </w:r>
      <w:hyperlink w:history="0" r:id="rId51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Органы государственного финансового контроля осуществляют проверку в соответствии со </w:t>
      </w:r>
      <w:hyperlink w:history="0" r:id="rId515"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516"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43. Министерство, министерство финансов и налоговой политики Новосибирской области проводят мониторинг достижения результатов предоставления гранта и характеристик результата предоставления гранта исходя из достижения значений результатов предоставления гранта и характеристик результата предоставления гранта, определенных соглашением, и событий, отражающих факт завершения соответствующего мероприятия по получению результата предоставления гранта (контрольная точка), в порядке и по формам, которые установлены Министерством финансов Российской Федерации.</w:t>
      </w:r>
    </w:p>
    <w:p>
      <w:pPr>
        <w:pStyle w:val="0"/>
        <w:jc w:val="both"/>
      </w:pPr>
      <w:r>
        <w:rPr>
          <w:sz w:val="20"/>
        </w:rPr>
        <w:t xml:space="preserve">(в ред. </w:t>
      </w:r>
      <w:hyperlink w:history="0" r:id="rId51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1844" w:name="P1844"/>
    <w:bookmarkEnd w:id="1844"/>
    <w:p>
      <w:pPr>
        <w:pStyle w:val="0"/>
        <w:spacing w:before="200" w:line-rule="auto"/>
        <w:ind w:firstLine="540"/>
        <w:jc w:val="both"/>
      </w:pPr>
      <w:r>
        <w:rPr>
          <w:sz w:val="20"/>
        </w:rPr>
        <w:t xml:space="preserve">44. В случае нарушения получателем гранта условий, установленных при предоставлении гранта, выявленного в том числе по фактам проверок, проведенных главным распорядителем и уполномоченным органом государственного финансового контроля, грант подлежит возврату в областной бюджет.</w:t>
      </w:r>
    </w:p>
    <w:bookmarkStart w:id="1845" w:name="P1845"/>
    <w:bookmarkEnd w:id="1845"/>
    <w:p>
      <w:pPr>
        <w:pStyle w:val="0"/>
        <w:spacing w:before="200" w:line-rule="auto"/>
        <w:ind w:firstLine="540"/>
        <w:jc w:val="both"/>
      </w:pPr>
      <w:r>
        <w:rPr>
          <w:sz w:val="20"/>
        </w:rPr>
        <w:t xml:space="preserve">В случае недостижения значений результата предоставления гранта и характеристик результата предоставления гранта, выявленных по фактам проверок, проведенных министерством и уполномоченным органом государственного финансового контроля, грант подлежит возврату в областной бюджет в той части, в которой результат предоставления гранта не достигнут.</w:t>
      </w:r>
    </w:p>
    <w:p>
      <w:pPr>
        <w:pStyle w:val="0"/>
        <w:jc w:val="both"/>
      </w:pPr>
      <w:r>
        <w:rPr>
          <w:sz w:val="20"/>
        </w:rPr>
        <w:t xml:space="preserve">(в ред. </w:t>
      </w:r>
      <w:hyperlink w:history="0" r:id="rId51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Действие изменений, внесенных в абз. третий п. 44 </w:t>
            </w:r>
            <w:hyperlink w:history="0" r:id="rId51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color w:val="392c69"/>
              </w:rPr>
              <w:t xml:space="preserve"> Правительства Новосибирской области от 06.02.2025 N 48-п, </w:t>
            </w:r>
            <w:hyperlink w:history="0" r:id="rId52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распространяется</w:t>
              </w:r>
            </w:hyperlink>
            <w:r>
              <w:rPr>
                <w:sz w:val="20"/>
                <w:color w:val="392c69"/>
              </w:rPr>
              <w:t xml:space="preserve"> на правоотношения, возникшие с 12.09.2024.</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Размер гранта, подлежащий возврату в областной бюджет (V возврата), в случае, если получателем гранта допущены нарушения обязательств по достижению результата предоставления гранта, определяется по формуле:</w:t>
      </w:r>
    </w:p>
    <w:p>
      <w:pPr>
        <w:pStyle w:val="0"/>
        <w:jc w:val="both"/>
      </w:pPr>
      <w:r>
        <w:rPr>
          <w:sz w:val="20"/>
        </w:rPr>
        <w:t xml:space="preserve">(в ред. </w:t>
      </w:r>
      <w:hyperlink w:history="0" r:id="rId52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sz w:val="20"/>
        </w:rPr>
        <w:t xml:space="preserve">V</w:t>
      </w:r>
      <w:r>
        <w:rPr>
          <w:sz w:val="20"/>
          <w:vertAlign w:val="subscript"/>
        </w:rPr>
        <w:t xml:space="preserve">возврата</w:t>
      </w:r>
      <w:r>
        <w:rPr>
          <w:sz w:val="20"/>
        </w:rPr>
        <w:t xml:space="preserve"> = 0,1 x (V</w:t>
      </w:r>
      <w:r>
        <w:rPr>
          <w:sz w:val="20"/>
          <w:vertAlign w:val="subscript"/>
        </w:rPr>
        <w:t xml:space="preserve">гранта</w:t>
      </w:r>
      <w:r>
        <w:rPr>
          <w:sz w:val="20"/>
        </w:rPr>
        <w:t xml:space="preserve"> x k x m / n),</w:t>
      </w:r>
    </w:p>
    <w:p>
      <w:pPr>
        <w:pStyle w:val="0"/>
        <w:jc w:val="both"/>
      </w:pPr>
      <w:r>
        <w:rPr>
          <w:sz w:val="20"/>
        </w:rPr>
        <w:t xml:space="preserve">(в ред. </w:t>
      </w:r>
      <w:hyperlink w:history="0" r:id="rId52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52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V</w:t>
      </w:r>
      <w:r>
        <w:rPr>
          <w:sz w:val="20"/>
          <w:vertAlign w:val="subscript"/>
        </w:rPr>
        <w:t xml:space="preserve">гранта</w:t>
      </w:r>
      <w:r>
        <w:rPr>
          <w:sz w:val="20"/>
        </w:rPr>
        <w:t xml:space="preserve"> - размер предоставленного гранта (в случае наличия неиспользованного остатка гранта, подлежащего возврату в областной бюджет Новосибирской области - средства гранта, использованные ресурсным центром в рамках реализации проекта на дату окончания срока реализации проекта);</w:t>
      </w:r>
    </w:p>
    <w:p>
      <w:pPr>
        <w:pStyle w:val="0"/>
        <w:jc w:val="both"/>
      </w:pPr>
      <w:r>
        <w:rPr>
          <w:sz w:val="20"/>
        </w:rPr>
        <w:t xml:space="preserve">(в ред. </w:t>
      </w:r>
      <w:hyperlink w:history="0" r:id="rId52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k - коэффициент возврата гранта;</w:t>
      </w:r>
    </w:p>
    <w:p>
      <w:pPr>
        <w:pStyle w:val="0"/>
        <w:jc w:val="both"/>
      </w:pPr>
      <w:r>
        <w:rPr>
          <w:sz w:val="20"/>
        </w:rPr>
        <w:t xml:space="preserve">(в ред. </w:t>
      </w:r>
      <w:hyperlink w:history="0" r:id="rId52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m - количество показателей использования гранта, по которым не достигнуты плановые значения;</w:t>
      </w:r>
    </w:p>
    <w:p>
      <w:pPr>
        <w:pStyle w:val="0"/>
        <w:jc w:val="both"/>
      </w:pPr>
      <w:r>
        <w:rPr>
          <w:sz w:val="20"/>
        </w:rPr>
        <w:t xml:space="preserve">(в ред. </w:t>
      </w:r>
      <w:hyperlink w:history="0" r:id="rId52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n - общее количество показателей использования гранта.</w:t>
      </w:r>
    </w:p>
    <w:p>
      <w:pPr>
        <w:pStyle w:val="0"/>
        <w:jc w:val="both"/>
      </w:pPr>
      <w:r>
        <w:rPr>
          <w:sz w:val="20"/>
        </w:rPr>
        <w:t xml:space="preserve">(в ред. </w:t>
      </w:r>
      <w:hyperlink w:history="0" r:id="rId52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Коэффициент возврата гранта (k) рассчитывается по формуле:</w:t>
      </w:r>
    </w:p>
    <w:p>
      <w:pPr>
        <w:pStyle w:val="0"/>
        <w:jc w:val="both"/>
      </w:pPr>
      <w:r>
        <w:rPr>
          <w:sz w:val="20"/>
        </w:rPr>
        <w:t xml:space="preserve">(в ред. </w:t>
      </w:r>
      <w:hyperlink w:history="0" r:id="rId52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position w:val="-10"/>
        </w:rPr>
        <w:drawing>
          <wp:inline distT="0" distB="0" distL="0" distR="0">
            <wp:extent cx="1362075" cy="2571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9">
                      <a:extLst>
                        <a:ext uri="{28A0092B-C50C-407E-A947-70E740481C1C}">
                          <a14:useLocalDpi xmlns:a14="http://schemas.microsoft.com/office/drawing/2010/main" val="0"/>
                        </a:ext>
                      </a:extLst>
                    </a:blip>
                    <a:srcRect/>
                    <a:stretch>
                      <a:fillRect/>
                    </a:stretch>
                  </pic:blipFill>
                  <pic:spPr bwMode="auto">
                    <a:xfrm>
                      <a:off x="0" y="0"/>
                      <a:ext cx="1362075" cy="257175"/>
                    </a:xfrm>
                    <a:prstGeom prst="rect">
                      <a:avLst/>
                    </a:prstGeom>
                    <a:noFill/>
                    <a:ln>
                      <a:noFill/>
                    </a:ln>
                  </pic:spPr>
                </pic:pic>
              </a:graphicData>
            </a:graphic>
          </wp:inline>
        </w:drawing>
      </w:r>
    </w:p>
    <w:p>
      <w:pPr>
        <w:pStyle w:val="0"/>
        <w:jc w:val="both"/>
      </w:pPr>
      <w:r>
        <w:rPr>
          <w:sz w:val="20"/>
        </w:rPr>
        <w:t xml:space="preserve">(в ред. </w:t>
      </w:r>
      <w:hyperlink w:history="0" r:id="rId53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53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T</w:t>
      </w:r>
      <w:r>
        <w:rPr>
          <w:sz w:val="20"/>
          <w:vertAlign w:val="subscript"/>
        </w:rPr>
        <w:t xml:space="preserve">i</w:t>
      </w:r>
      <w:r>
        <w:rPr>
          <w:sz w:val="20"/>
        </w:rPr>
        <w:t xml:space="preserve"> - фактически достигнутое значение i-го показателя использования гранта на отчетную дату;</w:t>
      </w:r>
    </w:p>
    <w:p>
      <w:pPr>
        <w:pStyle w:val="0"/>
        <w:jc w:val="both"/>
      </w:pPr>
      <w:r>
        <w:rPr>
          <w:sz w:val="20"/>
        </w:rPr>
        <w:t xml:space="preserve">(в ред. </w:t>
      </w:r>
      <w:hyperlink w:history="0" r:id="rId53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S</w:t>
      </w:r>
      <w:r>
        <w:rPr>
          <w:sz w:val="20"/>
          <w:vertAlign w:val="subscript"/>
        </w:rPr>
        <w:t xml:space="preserve">i</w:t>
      </w:r>
      <w:r>
        <w:rPr>
          <w:sz w:val="20"/>
        </w:rPr>
        <w:t xml:space="preserve"> - плановое значение i-го показателя использования гранта, установленное соглашением.</w:t>
      </w:r>
    </w:p>
    <w:p>
      <w:pPr>
        <w:pStyle w:val="0"/>
        <w:jc w:val="both"/>
      </w:pPr>
      <w:r>
        <w:rPr>
          <w:sz w:val="20"/>
        </w:rPr>
        <w:t xml:space="preserve">(в ред. </w:t>
      </w:r>
      <w:hyperlink w:history="0" r:id="rId53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 течение 30 календарных дней со дня выявления указанных в </w:t>
      </w:r>
      <w:hyperlink w:history="0" w:anchor="P1844" w:tooltip="44. В случае нарушения получателем гранта условий, установленных при предоставлении гранта, выявленного в том числе по фактам проверок, проведенных главным распорядителем и уполномоченным органом государственного финансового контроля, грант подлежит возврату в областной бюджет.">
        <w:r>
          <w:rPr>
            <w:sz w:val="20"/>
            <w:color w:val="0000ff"/>
          </w:rPr>
          <w:t xml:space="preserve">абзацах первом</w:t>
        </w:r>
      </w:hyperlink>
      <w:r>
        <w:rPr>
          <w:sz w:val="20"/>
        </w:rPr>
        <w:t xml:space="preserve"> и </w:t>
      </w:r>
      <w:hyperlink w:history="0" w:anchor="P1845" w:tooltip="В случае недостижения значений результата предоставления гранта и характеристик результата предоставления гранта, выявленных по фактам проверок, проведенных министерством и уполномоченным органом государственного финансового контроля, грант подлежит возврату в областной бюджет в той части, в которой результат предоставления гранта не достигнут.">
        <w:r>
          <w:rPr>
            <w:sz w:val="20"/>
            <w:color w:val="0000ff"/>
          </w:rPr>
          <w:t xml:space="preserve">втором</w:t>
        </w:r>
      </w:hyperlink>
      <w:r>
        <w:rPr>
          <w:sz w:val="20"/>
        </w:rPr>
        <w:t xml:space="preserve"> настоящего пункта нарушений направляет ресурсному центру письменное уведомление о возврате гранта (части гранта) в областной бюджет.</w:t>
      </w:r>
    </w:p>
    <w:p>
      <w:pPr>
        <w:pStyle w:val="0"/>
        <w:spacing w:before="200" w:line-rule="auto"/>
        <w:ind w:firstLine="540"/>
        <w:jc w:val="both"/>
      </w:pPr>
      <w:r>
        <w:rPr>
          <w:sz w:val="20"/>
        </w:rPr>
        <w:t xml:space="preserve">Ресурсный центр обязан в течение 30 календарных дней со дня получения письменного уведомления от министерства о возврате гранта перечислить указанную сумму денежных средств в областной бюджет.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45. Гранты, не использованные ресурсным центром в сроки, предусмотренные соглашением, должны быть возвращены в областной бюджет в трехдневный срок с даты окончания срока использования гранта, установленного соглашением.</w:t>
      </w:r>
    </w:p>
    <w:p>
      <w:pPr>
        <w:pStyle w:val="0"/>
        <w:spacing w:before="200" w:line-rule="auto"/>
        <w:ind w:firstLine="540"/>
        <w:jc w:val="both"/>
      </w:pPr>
      <w:r>
        <w:rPr>
          <w:sz w:val="20"/>
        </w:rPr>
        <w:t xml:space="preserve">В случае невозврата грантов по истечении срока, указанного в настоящем пункте,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46. При реорганизации ресурсного центра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pPr>
        <w:pStyle w:val="0"/>
        <w:spacing w:before="200" w:line-rule="auto"/>
        <w:ind w:firstLine="540"/>
        <w:jc w:val="both"/>
      </w:pPr>
      <w:r>
        <w:rPr>
          <w:sz w:val="20"/>
        </w:rPr>
        <w:t xml:space="preserve">При реорганизации ресурсного центра в форме разделения, выделения, а также при его ликвидации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ресурсным центром обязательствах, источником финансового обеспечения которых является грант, и возврате неиспользованного остатка гранта в областной бюджет Новосибирской области.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7</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p>
      <w:pPr>
        <w:pStyle w:val="2"/>
        <w:jc w:val="center"/>
      </w:pPr>
      <w:r>
        <w:rPr>
          <w:sz w:val="20"/>
        </w:rPr>
        <w:t xml:space="preserve">ПОРЯДОК</w:t>
      </w:r>
    </w:p>
    <w:p>
      <w:pPr>
        <w:pStyle w:val="2"/>
        <w:jc w:val="center"/>
      </w:pPr>
      <w:r>
        <w:rPr>
          <w:sz w:val="20"/>
        </w:rPr>
        <w:t xml:space="preserve">ОПРЕДЕЛЕНИЯ ОБЪЕМА И ПРЕДОСТАВЛЕНИЯ СУБСИДИЙ</w:t>
      </w:r>
    </w:p>
    <w:p>
      <w:pPr>
        <w:pStyle w:val="2"/>
        <w:jc w:val="center"/>
      </w:pPr>
      <w:r>
        <w:rPr>
          <w:sz w:val="20"/>
        </w:rPr>
        <w:t xml:space="preserve">НЕКОММЕРЧЕСКИМ ОРГАНИЗАЦИЯМ (ЗА ИСКЛЮЧЕНИЕМ ГОСУДАРСТВЕННЫХ</w:t>
      </w:r>
    </w:p>
    <w:p>
      <w:pPr>
        <w:pStyle w:val="2"/>
        <w:jc w:val="center"/>
      </w:pPr>
      <w:r>
        <w:rPr>
          <w:sz w:val="20"/>
        </w:rPr>
        <w:t xml:space="preserve">(МУНИЦИПАЛЬНЫХ) УЧРЕЖДЕНИЙ) ИЗ ОБЛАСТНОГО БЮДЖЕТА</w:t>
      </w:r>
    </w:p>
    <w:p>
      <w:pPr>
        <w:pStyle w:val="2"/>
        <w:jc w:val="center"/>
      </w:pPr>
      <w:r>
        <w:rPr>
          <w:sz w:val="20"/>
        </w:rPr>
        <w:t xml:space="preserve">НОВОСИБИРСКОЙ ОБЛАСТИ НА РЕАЛИЗАЦИЮ МЕРОПРИЯТИЙ</w:t>
      </w:r>
    </w:p>
    <w:p>
      <w:pPr>
        <w:pStyle w:val="2"/>
        <w:jc w:val="center"/>
      </w:pPr>
      <w:r>
        <w:rPr>
          <w:sz w:val="20"/>
        </w:rPr>
        <w:t xml:space="preserve">ПО ПОДДЕРЖКЕ ДЕЯТЕЛЬНОСТИ МУЗЕЕВ БОЕВОЙ И ТРУДОВОЙ СЛАВЫ</w:t>
      </w:r>
    </w:p>
    <w:p>
      <w:pPr>
        <w:pStyle w:val="2"/>
        <w:jc w:val="center"/>
      </w:pPr>
      <w:r>
        <w:rPr>
          <w:sz w:val="20"/>
        </w:rPr>
        <w:t xml:space="preserve">В ОБРАЗОВАТЕЛЬНЫХ И ОБЩЕСТВЕННЫХ ОРГАНИЗАЦИЯХ</w:t>
      </w:r>
    </w:p>
    <w:p>
      <w:pPr>
        <w:pStyle w:val="0"/>
        <w:ind w:firstLine="540"/>
        <w:jc w:val="both"/>
      </w:pPr>
      <w:r>
        <w:rPr>
          <w:sz w:val="20"/>
        </w:rPr>
      </w:r>
    </w:p>
    <w:p>
      <w:pPr>
        <w:pStyle w:val="0"/>
        <w:ind w:firstLine="540"/>
        <w:jc w:val="both"/>
      </w:pPr>
      <w:r>
        <w:rPr>
          <w:sz w:val="20"/>
        </w:rPr>
        <w:t xml:space="preserve">Утратил силу. - </w:t>
      </w:r>
      <w:hyperlink w:history="0" r:id="rId534"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15.07.2024 N 313-п.</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N 8</w:t>
      </w:r>
    </w:p>
    <w:p>
      <w:pPr>
        <w:pStyle w:val="0"/>
        <w:jc w:val="right"/>
      </w:pPr>
      <w:r>
        <w:rPr>
          <w:sz w:val="20"/>
        </w:rPr>
        <w:t xml:space="preserve">к постановлению</w:t>
      </w:r>
    </w:p>
    <w:p>
      <w:pPr>
        <w:pStyle w:val="0"/>
        <w:jc w:val="right"/>
      </w:pPr>
      <w:r>
        <w:rPr>
          <w:sz w:val="20"/>
        </w:rPr>
        <w:t xml:space="preserve">Правительства Новосибирской области</w:t>
      </w:r>
    </w:p>
    <w:p>
      <w:pPr>
        <w:pStyle w:val="0"/>
        <w:jc w:val="right"/>
      </w:pPr>
      <w:r>
        <w:rPr>
          <w:sz w:val="20"/>
        </w:rPr>
        <w:t xml:space="preserve">от 26.12.2018 N 570-п</w:t>
      </w:r>
    </w:p>
    <w:p>
      <w:pPr>
        <w:pStyle w:val="0"/>
        <w:ind w:firstLine="540"/>
        <w:jc w:val="both"/>
      </w:pPr>
      <w:r>
        <w:rPr>
          <w:sz w:val="20"/>
        </w:rPr>
      </w:r>
    </w:p>
    <w:bookmarkStart w:id="1911" w:name="P1911"/>
    <w:bookmarkEnd w:id="1911"/>
    <w:p>
      <w:pPr>
        <w:pStyle w:val="2"/>
        <w:jc w:val="center"/>
      </w:pPr>
      <w:r>
        <w:rPr>
          <w:sz w:val="20"/>
        </w:rPr>
        <w:t xml:space="preserve">ПОРЯДОК</w:t>
      </w:r>
    </w:p>
    <w:p>
      <w:pPr>
        <w:pStyle w:val="2"/>
        <w:jc w:val="center"/>
      </w:pPr>
      <w:r>
        <w:rPr>
          <w:sz w:val="20"/>
        </w:rPr>
        <w:t xml:space="preserve">ПРЕДОСТАВЛЕНИЯ СУБСИДИЙ ИЗ ОБЛАСТНОГО БЮДЖЕТА НОВОСИБИРСКОЙ</w:t>
      </w:r>
    </w:p>
    <w:p>
      <w:pPr>
        <w:pStyle w:val="2"/>
        <w:jc w:val="center"/>
      </w:pPr>
      <w:r>
        <w:rPr>
          <w:sz w:val="20"/>
        </w:rPr>
        <w:t xml:space="preserve">ОБЛАСТИ КАЗАЧЬИМ ОБЩЕСТВАМ НА ФИНАНСОВОЕ ОБЕСПЕЧЕНИЕ</w:t>
      </w:r>
    </w:p>
    <w:p>
      <w:pPr>
        <w:pStyle w:val="2"/>
        <w:jc w:val="center"/>
      </w:pPr>
      <w:r>
        <w:rPr>
          <w:sz w:val="20"/>
        </w:rPr>
        <w:t xml:space="preserve">ЗАТРАТ ПО ПРОВЕДЕНИЮ МЕРОПРИЯТИЙ В СФЕРЕ</w:t>
      </w:r>
    </w:p>
    <w:p>
      <w:pPr>
        <w:pStyle w:val="2"/>
        <w:jc w:val="center"/>
      </w:pPr>
      <w:r>
        <w:rPr>
          <w:sz w:val="20"/>
        </w:rPr>
        <w:t xml:space="preserve">РАЗВИТИЯ РОССИЙСКОГО КАЗАЧЕСТВА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Новосибирской области</w:t>
            </w:r>
          </w:p>
          <w:p>
            <w:pPr>
              <w:pStyle w:val="0"/>
              <w:jc w:val="center"/>
            </w:pPr>
            <w:r>
              <w:rPr>
                <w:sz w:val="20"/>
                <w:color w:val="392c69"/>
              </w:rPr>
              <w:t xml:space="preserve">от 15.07.2024 </w:t>
            </w:r>
            <w:hyperlink w:history="0" r:id="rId535" w:tooltip="Постановление Правительства Новосибирской области от 15.07.2024 N 313-п &quot;О внесении изменений в постановление Правительства Новосибирской области от 26.12.2018 N 570-п&quot; {КонсультантПлюс}">
              <w:r>
                <w:rPr>
                  <w:sz w:val="20"/>
                  <w:color w:val="0000ff"/>
                </w:rPr>
                <w:t xml:space="preserve">N 313-п</w:t>
              </w:r>
            </w:hyperlink>
            <w:r>
              <w:rPr>
                <w:sz w:val="20"/>
                <w:color w:val="392c69"/>
              </w:rPr>
              <w:t xml:space="preserve">, от 06.02.2025 </w:t>
            </w:r>
            <w:hyperlink w:history="0" r:id="rId53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N 48-п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1. Порядок предоставления субсидий из областного бюджета Новосибирской области казачьим обществам на финансовое обеспечение затрат по проведению мероприятий в сфере развития российского казачества (далее - Порядок) определяет цели, условия предоставления из областного бюджета Новосибирской области (далее - областной бюджет) субсидий казачьим обществам при реализации мероприятий государственной </w:t>
      </w:r>
      <w:hyperlink w:history="0" w:anchor="P81" w:tooltip="ГОСУДАРСТВЕННАЯ ПРОГРАММА">
        <w:r>
          <w:rPr>
            <w:sz w:val="20"/>
            <w:color w:val="0000ff"/>
          </w:rPr>
          <w:t xml:space="preserve">программы</w:t>
        </w:r>
      </w:hyperlink>
      <w:r>
        <w:rPr>
          <w:sz w:val="20"/>
        </w:rPr>
        <w:t xml:space="preserve"> Новосибирской области "Развитие институтов региональной политики и гражданского общества в Новосибирской области".</w:t>
      </w:r>
    </w:p>
    <w:p>
      <w:pPr>
        <w:pStyle w:val="0"/>
        <w:spacing w:before="200" w:line-rule="auto"/>
        <w:ind w:firstLine="540"/>
        <w:jc w:val="both"/>
      </w:pPr>
      <w:r>
        <w:rPr>
          <w:sz w:val="20"/>
        </w:rPr>
        <w:t xml:space="preserve">2. Порядок разработан в соответствии с </w:t>
      </w:r>
      <w:hyperlink w:history="0" r:id="rId537"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пунктом 2 статьи 78.1</w:t>
        </w:r>
      </w:hyperlink>
      <w:r>
        <w:rPr>
          <w:sz w:val="20"/>
        </w:rPr>
        <w:t xml:space="preserve"> Бюджетного кодекса Российской Федерации, Федеральным </w:t>
      </w:r>
      <w:hyperlink w:history="0" r:id="rId538"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w:t>
      </w:r>
      <w:hyperlink w:history="0" r:id="rId539" w:tooltip="Постановление Правительства РФ от 25.10.2023 N 1782 (ред. от 16.11.2024) &quo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quot; {КонсультантПлюс}">
        <w:r>
          <w:rPr>
            <w:sz w:val="20"/>
            <w:color w:val="0000ff"/>
          </w:rPr>
          <w:t xml:space="preserve">постановлением</w:t>
        </w:r>
      </w:hyperlink>
      <w:r>
        <w:rPr>
          <w:sz w:val="20"/>
        </w:rP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w:t>
      </w:r>
      <w:hyperlink w:history="0" r:id="rId540"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w:t>
      </w:r>
    </w:p>
    <w:bookmarkStart w:id="1922" w:name="P1922"/>
    <w:bookmarkEnd w:id="1922"/>
    <w:p>
      <w:pPr>
        <w:pStyle w:val="0"/>
        <w:spacing w:before="200" w:line-rule="auto"/>
        <w:ind w:firstLine="540"/>
        <w:jc w:val="both"/>
      </w:pPr>
      <w:r>
        <w:rPr>
          <w:sz w:val="20"/>
        </w:rPr>
        <w:t xml:space="preserve">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w:t>
      </w:r>
    </w:p>
    <w:p>
      <w:pPr>
        <w:pStyle w:val="0"/>
        <w:spacing w:before="200" w:line-rule="auto"/>
        <w:ind w:firstLine="540"/>
        <w:jc w:val="both"/>
      </w:pPr>
      <w:r>
        <w:rPr>
          <w:sz w:val="20"/>
        </w:rPr>
        <w:t xml:space="preserve">Информация о субсидиях размещается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в порядке, установленном Министерством финансов Российской Федерации.</w:t>
      </w:r>
    </w:p>
    <w:bookmarkStart w:id="1924" w:name="P1924"/>
    <w:bookmarkEnd w:id="1924"/>
    <w:p>
      <w:pPr>
        <w:pStyle w:val="0"/>
        <w:spacing w:before="200" w:line-rule="auto"/>
        <w:ind w:firstLine="540"/>
        <w:jc w:val="both"/>
      </w:pPr>
      <w:r>
        <w:rPr>
          <w:sz w:val="20"/>
        </w:rPr>
        <w:t xml:space="preserve">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w:t>
      </w:r>
    </w:p>
    <w:p>
      <w:pPr>
        <w:pStyle w:val="0"/>
        <w:spacing w:before="200" w:line-rule="auto"/>
        <w:ind w:firstLine="540"/>
        <w:jc w:val="both"/>
      </w:pPr>
      <w:r>
        <w:rPr>
          <w:sz w:val="20"/>
        </w:rPr>
        <w:t xml:space="preserve">За счет предоставленной субсидии запрещается осуществлять расходы, напрямую не связанные с реализацией уставной деятельности казачьих обществ, указанной в </w:t>
      </w:r>
      <w:hyperlink w:history="0" w:anchor="P1924" w:tooltip="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
        <w:r>
          <w:rPr>
            <w:sz w:val="20"/>
            <w:color w:val="0000ff"/>
          </w:rPr>
          <w:t xml:space="preserve">абзаце первом</w:t>
        </w:r>
      </w:hyperlink>
      <w:r>
        <w:rPr>
          <w:sz w:val="20"/>
        </w:rPr>
        <w:t xml:space="preserve"> настоящего пункта 4 Порядка.</w:t>
      </w:r>
    </w:p>
    <w:bookmarkStart w:id="1926" w:name="P1926"/>
    <w:bookmarkEnd w:id="1926"/>
    <w:p>
      <w:pPr>
        <w:pStyle w:val="0"/>
        <w:spacing w:before="200" w:line-rule="auto"/>
        <w:ind w:firstLine="540"/>
        <w:jc w:val="both"/>
      </w:pPr>
      <w:r>
        <w:rPr>
          <w:sz w:val="20"/>
        </w:rPr>
        <w:t xml:space="preserve">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w:t>
      </w:r>
      <w:hyperlink w:history="0" r:id="rId541" w:tooltip="Федеральный закон от 12.01.1996 N 7-ФЗ (ред. от 13.12.2024) &quot;О некоммерческих организациях&quot; {КонсультантПлюс}">
        <w:r>
          <w:rPr>
            <w:sz w:val="20"/>
            <w:color w:val="0000ff"/>
          </w:rPr>
          <w:t xml:space="preserve">законом</w:t>
        </w:r>
      </w:hyperlink>
      <w:r>
        <w:rPr>
          <w:sz w:val="20"/>
        </w:rPr>
        <w:t xml:space="preserve"> от 12.01.1996 N 7-ФЗ "О некоммерческих организациях", Федеральным </w:t>
      </w:r>
      <w:hyperlink w:history="0" r:id="rId542" w:tooltip="Федеральный закон от 05.12.2005 N 154-ФЗ (ред. от 23.03.2024) &quot;О государственной службе российского казачества&quot; (с изм. и доп., вступ. в силу с 24.03.2025) {КонсультантПлюс}">
        <w:r>
          <w:rPr>
            <w:sz w:val="20"/>
            <w:color w:val="0000ff"/>
          </w:rPr>
          <w:t xml:space="preserve">законом</w:t>
        </w:r>
      </w:hyperlink>
      <w:r>
        <w:rPr>
          <w:sz w:val="20"/>
        </w:rPr>
        <w:t xml:space="preserve"> от 05.12.2005 N 154-ФЗ "О государственной службе российского казачества" и </w:t>
      </w:r>
      <w:hyperlink w:history="0" r:id="rId543" w:tooltip="Закон Новосибирской области от 07.11.2011 N 139-ОЗ (ред. от 24.12.2024) &quot;О государственной поддержке социально ориентированных некоммерческих организаций в Новосибирской области&quot; (принят постановлением Законодательного Собрания Новосибирской области от 27.10.2011 N 139-ЗС) {КонсультантПлюс}">
        <w:r>
          <w:rPr>
            <w:sz w:val="20"/>
            <w:color w:val="0000ff"/>
          </w:rPr>
          <w:t xml:space="preserve">Законом</w:t>
        </w:r>
      </w:hyperlink>
      <w:r>
        <w:rPr>
          <w:sz w:val="20"/>
        </w:rPr>
        <w:t xml:space="preserve"> Новосибирской области от 07.11.2011 N 139-ОЗ "О государственной поддержке социально ориентированных некоммерческих организаций в Новосибирской области", за исключением государственных корпораций, государственных компаний, общественных объединений, являющихся политическими партиями, государственных и муниципальных учреждений.</w:t>
      </w:r>
    </w:p>
    <w:p>
      <w:pPr>
        <w:pStyle w:val="0"/>
        <w:ind w:firstLine="540"/>
        <w:jc w:val="both"/>
      </w:pPr>
      <w:r>
        <w:rPr>
          <w:sz w:val="20"/>
        </w:rPr>
      </w:r>
    </w:p>
    <w:p>
      <w:pPr>
        <w:pStyle w:val="2"/>
        <w:outlineLvl w:val="1"/>
        <w:jc w:val="center"/>
      </w:pPr>
      <w:r>
        <w:rPr>
          <w:sz w:val="20"/>
        </w:rPr>
        <w:t xml:space="preserve">Порядок проведения отбора организаций</w:t>
      </w:r>
    </w:p>
    <w:p>
      <w:pPr>
        <w:pStyle w:val="2"/>
        <w:jc w:val="center"/>
      </w:pPr>
      <w:r>
        <w:rPr>
          <w:sz w:val="20"/>
        </w:rPr>
        <w:t xml:space="preserve">для предоставления субсидий</w:t>
      </w:r>
    </w:p>
    <w:p>
      <w:pPr>
        <w:pStyle w:val="0"/>
        <w:ind w:firstLine="540"/>
        <w:jc w:val="both"/>
      </w:pPr>
      <w:r>
        <w:rPr>
          <w:sz w:val="20"/>
        </w:rPr>
      </w:r>
    </w:p>
    <w:p>
      <w:pPr>
        <w:pStyle w:val="0"/>
        <w:ind w:firstLine="540"/>
        <w:jc w:val="both"/>
      </w:pPr>
      <w:r>
        <w:rPr>
          <w:sz w:val="20"/>
        </w:rPr>
        <w:t xml:space="preserve">6. Субсидии предоставляются по результатам отбора, организатором которого является министерство.</w:t>
      </w:r>
    </w:p>
    <w:p>
      <w:pPr>
        <w:pStyle w:val="0"/>
        <w:spacing w:before="200" w:line-rule="auto"/>
        <w:ind w:firstLine="540"/>
        <w:jc w:val="both"/>
      </w:pPr>
      <w:r>
        <w:rPr>
          <w:sz w:val="20"/>
        </w:rPr>
        <w:t xml:space="preserve">Отбор организаций осуществляется на конкурентной основе путем запроса предложений исходя из соответствия организаций категориям и критериям отбора и очередности поступления предложений (заявок) на участие в отборе организаций.</w:t>
      </w:r>
    </w:p>
    <w:p>
      <w:pPr>
        <w:pStyle w:val="0"/>
        <w:spacing w:before="200" w:line-rule="auto"/>
        <w:ind w:firstLine="540"/>
        <w:jc w:val="both"/>
      </w:pPr>
      <w:r>
        <w:rPr>
          <w:sz w:val="20"/>
        </w:rPr>
        <w:t xml:space="preserve">Информация о проведении отбора (объявление о проведении отбора, его отмене, информация о ходе и результатах отбора) размещается министерством в информационно-телекоммуникационной сети "Интернет" на едином портале, на информационных ресурсах об оказании финансовой поддержки казачьим обществам, а также на официальном сайте министерства в сети "Интернет", не ранее размещения информации о гранте в соответствии с </w:t>
      </w:r>
      <w:hyperlink w:history="0" w:anchor="P1922" w:tooltip="3. Министерство региональной политики Новосибирской области (далее - министерство) является областным исполнительным органом Новосибирской области, осуществляющим функции главного распорядителя бюджетных средств,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w:r>
          <w:rPr>
            <w:sz w:val="20"/>
            <w:color w:val="0000ff"/>
          </w:rPr>
          <w:t xml:space="preserve">пунктом 3</w:t>
        </w:r>
      </w:hyperlink>
      <w:r>
        <w:rPr>
          <w:sz w:val="20"/>
        </w:rPr>
        <w:t xml:space="preserve"> Порядка.</w:t>
      </w:r>
    </w:p>
    <w:p>
      <w:pPr>
        <w:pStyle w:val="0"/>
        <w:jc w:val="both"/>
      </w:pPr>
      <w:r>
        <w:rPr>
          <w:sz w:val="20"/>
        </w:rPr>
        <w:t xml:space="preserve">(в ред. </w:t>
      </w:r>
      <w:hyperlink w:history="0" r:id="rId54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казачьих обществ осуществляется в государственной интегрированной информационной системе управления общественными финансами "Электронный бюджет" (в разделе предоставления мер финансовой государственной поддержки) (далее - система "Электронный бюджет").</w:t>
      </w:r>
    </w:p>
    <w:p>
      <w:pPr>
        <w:pStyle w:val="0"/>
        <w:jc w:val="both"/>
      </w:pPr>
      <w:r>
        <w:rPr>
          <w:sz w:val="20"/>
        </w:rPr>
        <w:t xml:space="preserve">(абзац введен </w:t>
      </w:r>
      <w:hyperlink w:history="0" r:id="rId54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Взаимодействие министерства, комиссии по рассмотрению и оценке заявок казачьих обществ (далее - комиссия) с казачьими обществами осуществляется с использованием документов в электронной форме в системе "Электронный бюджет".</w:t>
      </w:r>
    </w:p>
    <w:p>
      <w:pPr>
        <w:pStyle w:val="0"/>
        <w:jc w:val="both"/>
      </w:pPr>
      <w:r>
        <w:rPr>
          <w:sz w:val="20"/>
        </w:rPr>
        <w:t xml:space="preserve">(абзац введен </w:t>
      </w:r>
      <w:hyperlink w:history="0" r:id="rId54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Доступ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pPr>
        <w:pStyle w:val="0"/>
        <w:jc w:val="both"/>
      </w:pPr>
      <w:r>
        <w:rPr>
          <w:sz w:val="20"/>
        </w:rPr>
        <w:t xml:space="preserve">(абзац введен </w:t>
      </w:r>
      <w:hyperlink w:history="0" r:id="rId54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В целях проведения отбора казачьих обществ для предоставления субсидий министерство:</w:t>
      </w:r>
    </w:p>
    <w:p>
      <w:pPr>
        <w:pStyle w:val="0"/>
        <w:spacing w:before="200" w:line-rule="auto"/>
        <w:ind w:firstLine="540"/>
        <w:jc w:val="both"/>
      </w:pPr>
      <w:r>
        <w:rPr>
          <w:sz w:val="20"/>
        </w:rPr>
        <w:t xml:space="preserve">1) издает приказ об объявлении отбора, которым:</w:t>
      </w:r>
    </w:p>
    <w:p>
      <w:pPr>
        <w:pStyle w:val="0"/>
        <w:spacing w:before="200" w:line-rule="auto"/>
        <w:ind w:firstLine="540"/>
        <w:jc w:val="both"/>
      </w:pPr>
      <w:r>
        <w:rPr>
          <w:sz w:val="20"/>
        </w:rPr>
        <w:t xml:space="preserve">а) определяет:</w:t>
      </w:r>
    </w:p>
    <w:p>
      <w:pPr>
        <w:pStyle w:val="0"/>
        <w:spacing w:before="200" w:line-rule="auto"/>
        <w:ind w:firstLine="540"/>
        <w:jc w:val="both"/>
      </w:pPr>
      <w:r>
        <w:rPr>
          <w:sz w:val="20"/>
        </w:rPr>
        <w:t xml:space="preserve">абзац утратил силу. - </w:t>
      </w:r>
      <w:hyperlink w:history="0" r:id="rId54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дату начала подачи и окончания приема заявок казачьих обществ;</w:t>
      </w:r>
    </w:p>
    <w:p>
      <w:pPr>
        <w:pStyle w:val="0"/>
        <w:spacing w:before="200" w:line-rule="auto"/>
        <w:ind w:firstLine="540"/>
        <w:jc w:val="both"/>
      </w:pPr>
      <w:r>
        <w:rPr>
          <w:sz w:val="20"/>
        </w:rPr>
        <w:t xml:space="preserve">абзац утратил силу. - </w:t>
      </w:r>
      <w:hyperlink w:history="0" r:id="rId54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срок реализации мероприятий, указанных в </w:t>
      </w:r>
      <w:hyperlink w:history="0" w:anchor="P1924" w:tooltip="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
        <w:r>
          <w:rPr>
            <w:sz w:val="20"/>
            <w:color w:val="0000ff"/>
          </w:rPr>
          <w:t xml:space="preserve">пункте 4</w:t>
        </w:r>
      </w:hyperlink>
      <w:r>
        <w:rPr>
          <w:sz w:val="20"/>
        </w:rPr>
        <w:t xml:space="preserve"> Порядка;</w:t>
      </w:r>
    </w:p>
    <w:p>
      <w:pPr>
        <w:pStyle w:val="0"/>
        <w:spacing w:before="200" w:line-rule="auto"/>
        <w:ind w:firstLine="540"/>
        <w:jc w:val="both"/>
      </w:pPr>
      <w:r>
        <w:rPr>
          <w:sz w:val="20"/>
        </w:rPr>
        <w:t xml:space="preserve">б) утверждает:</w:t>
      </w:r>
    </w:p>
    <w:p>
      <w:pPr>
        <w:pStyle w:val="0"/>
        <w:spacing w:before="200" w:line-rule="auto"/>
        <w:ind w:firstLine="540"/>
        <w:jc w:val="both"/>
      </w:pPr>
      <w:r>
        <w:rPr>
          <w:sz w:val="20"/>
        </w:rPr>
        <w:t xml:space="preserve">абзац утратил силу. - </w:t>
      </w:r>
      <w:hyperlink w:history="0" r:id="rId55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положение о комиссии и состав комиссии;</w:t>
      </w:r>
    </w:p>
    <w:p>
      <w:pPr>
        <w:pStyle w:val="0"/>
        <w:jc w:val="both"/>
      </w:pPr>
      <w:r>
        <w:rPr>
          <w:sz w:val="20"/>
        </w:rPr>
        <w:t xml:space="preserve">(в ред. </w:t>
      </w:r>
      <w:hyperlink w:history="0" r:id="rId55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устанавливает максимальный размер субсидии;</w:t>
      </w:r>
    </w:p>
    <w:p>
      <w:pPr>
        <w:pStyle w:val="0"/>
        <w:spacing w:before="200" w:line-rule="auto"/>
        <w:ind w:firstLine="540"/>
        <w:jc w:val="both"/>
      </w:pPr>
      <w:r>
        <w:rPr>
          <w:sz w:val="20"/>
        </w:rPr>
        <w:t xml:space="preserve">2) размещает объявление о проведении отбора в соответствии с </w:t>
      </w:r>
      <w:hyperlink w:history="0" w:anchor="P1972" w:tooltip="9. Объявление о проведении отбора формируется в электронном виде в системе &quot;Электронный бюджет&quot;,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едином портале, на информационном ресурсе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не позднее чем за десять календарных дней до окончания срока приема з...">
        <w:r>
          <w:rPr>
            <w:sz w:val="20"/>
            <w:color w:val="0000ff"/>
          </w:rPr>
          <w:t xml:space="preserve">пунктом 9</w:t>
        </w:r>
      </w:hyperlink>
      <w:r>
        <w:rPr>
          <w:sz w:val="20"/>
        </w:rPr>
        <w:t xml:space="preserve"> Порядка;</w:t>
      </w:r>
    </w:p>
    <w:p>
      <w:pPr>
        <w:pStyle w:val="0"/>
        <w:spacing w:before="200" w:line-rule="auto"/>
        <w:ind w:firstLine="540"/>
        <w:jc w:val="both"/>
      </w:pPr>
      <w:r>
        <w:rPr>
          <w:sz w:val="20"/>
        </w:rPr>
        <w:t xml:space="preserve">3) организует консультирование по вопросам подготовки заявок;</w:t>
      </w:r>
    </w:p>
    <w:p>
      <w:pPr>
        <w:pStyle w:val="0"/>
        <w:spacing w:before="200" w:line-rule="auto"/>
        <w:ind w:firstLine="540"/>
        <w:jc w:val="both"/>
      </w:pPr>
      <w:r>
        <w:rPr>
          <w:sz w:val="20"/>
        </w:rPr>
        <w:t xml:space="preserve">4) утратил силу. - </w:t>
      </w:r>
      <w:hyperlink w:history="0" r:id="rId55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осуществляет проверку поданных заявок в соответствии с </w:t>
      </w:r>
      <w:hyperlink w:history="0" w:anchor="P2055" w:tooltip="18.1. Проверка казачьего общества на соответствие требованиям, указанным в пункте 11 Порядка, осуществляется автоматически в системе &quot;Электронный бюджет&quot;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
        <w:r>
          <w:rPr>
            <w:sz w:val="20"/>
            <w:color w:val="0000ff"/>
          </w:rPr>
          <w:t xml:space="preserve">пунктами 18.1</w:t>
        </w:r>
      </w:hyperlink>
      <w:r>
        <w:rPr>
          <w:sz w:val="20"/>
        </w:rPr>
        <w:t xml:space="preserve">, </w:t>
      </w:r>
      <w:hyperlink w:history="0" w:anchor="P2058" w:tooltip="19. Министерство на стадии проверки документов казачьего общества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
        <w:r>
          <w:rPr>
            <w:sz w:val="20"/>
            <w:color w:val="0000ff"/>
          </w:rPr>
          <w:t xml:space="preserve">19</w:t>
        </w:r>
      </w:hyperlink>
      <w:r>
        <w:rPr>
          <w:sz w:val="20"/>
        </w:rPr>
        <w:t xml:space="preserve"> Порядка;</w:t>
      </w:r>
    </w:p>
    <w:p>
      <w:pPr>
        <w:pStyle w:val="0"/>
        <w:jc w:val="both"/>
      </w:pPr>
      <w:r>
        <w:rPr>
          <w:sz w:val="20"/>
        </w:rPr>
        <w:t xml:space="preserve">(в ред. </w:t>
      </w:r>
      <w:hyperlink w:history="0" r:id="rId55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6) утратил силу. - </w:t>
      </w:r>
      <w:hyperlink w:history="0" r:id="rId55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организует рассмотрение и оценку заявок;</w:t>
      </w:r>
    </w:p>
    <w:p>
      <w:pPr>
        <w:pStyle w:val="0"/>
        <w:spacing w:before="200" w:line-rule="auto"/>
        <w:ind w:firstLine="540"/>
        <w:jc w:val="both"/>
      </w:pPr>
      <w:r>
        <w:rPr>
          <w:sz w:val="20"/>
        </w:rPr>
        <w:t xml:space="preserve">8) на основании решения комиссии издает приказ о результатах отбора;</w:t>
      </w:r>
    </w:p>
    <w:p>
      <w:pPr>
        <w:pStyle w:val="0"/>
        <w:spacing w:before="200" w:line-rule="auto"/>
        <w:ind w:firstLine="540"/>
        <w:jc w:val="both"/>
      </w:pPr>
      <w:r>
        <w:rPr>
          <w:sz w:val="20"/>
        </w:rPr>
        <w:t xml:space="preserve">9) заключает соглашения о предоставлении субсидий (далее - соглашение).</w:t>
      </w:r>
    </w:p>
    <w:bookmarkStart w:id="1962" w:name="P1962"/>
    <w:bookmarkEnd w:id="1962"/>
    <w:p>
      <w:pPr>
        <w:pStyle w:val="0"/>
        <w:spacing w:before="200" w:line-rule="auto"/>
        <w:ind w:firstLine="540"/>
        <w:jc w:val="both"/>
      </w:pPr>
      <w:r>
        <w:rPr>
          <w:sz w:val="20"/>
        </w:rPr>
        <w:t xml:space="preserve">8. Не позднее чем за два рабочих дня до даты окончания срока приема заявок казачьих обществ министерство вправе отменить отбор путем издания соответствующего приказа.</w:t>
      </w:r>
    </w:p>
    <w:p>
      <w:pPr>
        <w:pStyle w:val="0"/>
        <w:spacing w:before="200" w:line-rule="auto"/>
        <w:ind w:firstLine="540"/>
        <w:jc w:val="both"/>
      </w:pPr>
      <w:r>
        <w:rPr>
          <w:sz w:val="20"/>
        </w:rPr>
        <w:t xml:space="preserve">Министерство принимает решение об отмене отбора в случае уменьшения или отзыва ранее доведенных лимитов бюджетных ассигнований на предоставление субсидий, установленных министерству на текущий финансовый год в пределах лимитов бюджетных обязательств в соответствии со сводной бюджетной росписью и кассовым планом областного бюджета, приводящих к невозможности предоставления субсидий.</w:t>
      </w:r>
    </w:p>
    <w:p>
      <w:pPr>
        <w:pStyle w:val="0"/>
        <w:jc w:val="both"/>
      </w:pPr>
      <w:r>
        <w:rPr>
          <w:sz w:val="20"/>
        </w:rPr>
        <w:t xml:space="preserve">(в ред. </w:t>
      </w:r>
      <w:hyperlink w:history="0" r:id="rId55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Казачьи общества, подавшие заявки, информируются об отмене проведения отбора в системе "Электронный бюджет", на официальном сайте министерства.</w:t>
      </w:r>
    </w:p>
    <w:p>
      <w:pPr>
        <w:pStyle w:val="0"/>
        <w:jc w:val="both"/>
      </w:pPr>
      <w:r>
        <w:rPr>
          <w:sz w:val="20"/>
        </w:rPr>
        <w:t xml:space="preserve">(в ред. </w:t>
      </w:r>
      <w:hyperlink w:history="0" r:id="rId55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Отбор считается отмененным со дня размещения объявления о его отмене на едином портале.</w:t>
      </w:r>
    </w:p>
    <w:p>
      <w:pPr>
        <w:pStyle w:val="0"/>
        <w:jc w:val="both"/>
      </w:pPr>
      <w:r>
        <w:rPr>
          <w:sz w:val="20"/>
        </w:rPr>
        <w:t xml:space="preserve">(в ред. </w:t>
      </w:r>
      <w:hyperlink w:history="0" r:id="rId55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После окончания срока отмены отбора в соответствии с </w:t>
      </w:r>
      <w:hyperlink w:history="0" w:anchor="P1962" w:tooltip="8. Не позднее чем за два рабочих дня до даты окончания срока приема заявок казачьих обществ министерство вправе отменить отбор путем издания соответствующего приказа.">
        <w:r>
          <w:rPr>
            <w:sz w:val="20"/>
            <w:color w:val="0000ff"/>
          </w:rPr>
          <w:t xml:space="preserve">абзацем первым</w:t>
        </w:r>
      </w:hyperlink>
      <w:r>
        <w:rPr>
          <w:sz w:val="20"/>
        </w:rPr>
        <w:t xml:space="preserve"> настоящего пункта и до заключения соглашения с победителем (победителями) отбора министерство может отменить отбор только в случае возникновения обстоятельств непреодолимой силы в соответствии с </w:t>
      </w:r>
      <w:hyperlink w:history="0" r:id="rId558" w:tooltip="&quot;Гражданский кодекс Российской Федерации (часть первая)&quot; от 30.11.1994 N 51-ФЗ (ред. от 08.08.2024, с изм. от 31.10.2024) {КонсультантПлюс}">
        <w:r>
          <w:rPr>
            <w:sz w:val="20"/>
            <w:color w:val="0000ff"/>
          </w:rPr>
          <w:t xml:space="preserve">пунктом 3 статьи 401</w:t>
        </w:r>
      </w:hyperlink>
      <w:r>
        <w:rPr>
          <w:sz w:val="20"/>
        </w:rPr>
        <w:t xml:space="preserve"> Гражданского кодекса Российской Федерации.</w:t>
      </w:r>
    </w:p>
    <w:p>
      <w:pPr>
        <w:pStyle w:val="0"/>
        <w:spacing w:before="200" w:line-rule="auto"/>
        <w:ind w:firstLine="540"/>
        <w:jc w:val="both"/>
      </w:pPr>
      <w:r>
        <w:rPr>
          <w:sz w:val="20"/>
        </w:rPr>
        <w:t xml:space="preserve">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главного распорядителя бюджетных средств и содержит информацию о причинах отмены отбора.</w:t>
      </w:r>
    </w:p>
    <w:p>
      <w:pPr>
        <w:pStyle w:val="0"/>
        <w:jc w:val="both"/>
      </w:pPr>
      <w:r>
        <w:rPr>
          <w:sz w:val="20"/>
        </w:rPr>
        <w:t xml:space="preserve">(абзац введен </w:t>
      </w:r>
      <w:hyperlink w:history="0" r:id="rId55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1972" w:name="P1972"/>
    <w:bookmarkEnd w:id="1972"/>
    <w:p>
      <w:pPr>
        <w:pStyle w:val="0"/>
        <w:spacing w:before="200" w:line-rule="auto"/>
        <w:ind w:firstLine="540"/>
        <w:jc w:val="both"/>
      </w:pPr>
      <w:r>
        <w:rPr>
          <w:sz w:val="20"/>
        </w:rPr>
        <w:t xml:space="preserve">9. Объявление о проведении отбора формируется в электронном виде в системе "Электронный бюджет", подписывается усиленной квалифицированной электронной подписью руководителя главного распорядителя бюджетных средств и размещается в открытом доступе на едином портале, на информационном ресурсе об оказании финансовой поддержки социально ориентированным некоммерческим организациям, а также на официальном сайте министерства в сети "Интернет" не позднее чем за десять календарных дней до окончания срока приема заявок.</w:t>
      </w:r>
    </w:p>
    <w:p>
      <w:pPr>
        <w:pStyle w:val="0"/>
        <w:jc w:val="both"/>
      </w:pPr>
      <w:r>
        <w:rPr>
          <w:sz w:val="20"/>
        </w:rPr>
        <w:t xml:space="preserve">(в ред. </w:t>
      </w:r>
      <w:hyperlink w:history="0" r:id="rId56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 Объявление о проведении отбора содержит:</w:t>
      </w:r>
    </w:p>
    <w:p>
      <w:pPr>
        <w:pStyle w:val="0"/>
        <w:spacing w:before="200" w:line-rule="auto"/>
        <w:ind w:firstLine="540"/>
        <w:jc w:val="both"/>
      </w:pPr>
      <w:r>
        <w:rPr>
          <w:sz w:val="20"/>
        </w:rPr>
        <w:t xml:space="preserve">1) сроки проведения отбора;</w:t>
      </w:r>
    </w:p>
    <w:p>
      <w:pPr>
        <w:pStyle w:val="0"/>
        <w:spacing w:before="200" w:line-rule="auto"/>
        <w:ind w:firstLine="540"/>
        <w:jc w:val="both"/>
      </w:pPr>
      <w:r>
        <w:rPr>
          <w:sz w:val="20"/>
        </w:rPr>
        <w:t xml:space="preserve">2) дату начала подачи и окончания приема заявок казачьих обществ, которая не может быть ранее десятого календарного дня, следующего за днем размещения объявления о проведении отбора;</w:t>
      </w:r>
    </w:p>
    <w:p>
      <w:pPr>
        <w:pStyle w:val="0"/>
        <w:spacing w:before="200" w:line-rule="auto"/>
        <w:ind w:firstLine="540"/>
        <w:jc w:val="both"/>
      </w:pPr>
      <w:r>
        <w:rPr>
          <w:sz w:val="20"/>
        </w:rPr>
        <w:t xml:space="preserve">3) наименование, место нахождения, почтовый адрес, адрес электронной почты министерства;</w:t>
      </w:r>
    </w:p>
    <w:p>
      <w:pPr>
        <w:pStyle w:val="0"/>
        <w:spacing w:before="200" w:line-rule="auto"/>
        <w:ind w:firstLine="540"/>
        <w:jc w:val="both"/>
      </w:pPr>
      <w:r>
        <w:rPr>
          <w:sz w:val="20"/>
        </w:rPr>
        <w:t xml:space="preserve">4) результаты предоставления субсидии, их характеристики (показатели, необходимые для достижения результата предоставления субсидии) в соответствии с </w:t>
      </w:r>
      <w:hyperlink w:history="0" w:anchor="P2138" w:tooltip="37. Результатом предоставления субсидии являются реализованные мероприятия по осуществлению уставной деятельности в соответствии с пунктом 4 Порядка.">
        <w:r>
          <w:rPr>
            <w:sz w:val="20"/>
            <w:color w:val="0000ff"/>
          </w:rPr>
          <w:t xml:space="preserve">пунктом 37</w:t>
        </w:r>
      </w:hyperlink>
      <w:r>
        <w:rPr>
          <w:sz w:val="20"/>
        </w:rPr>
        <w:t xml:space="preserve"> Порядка;</w:t>
      </w:r>
    </w:p>
    <w:p>
      <w:pPr>
        <w:pStyle w:val="0"/>
        <w:jc w:val="both"/>
      </w:pPr>
      <w:r>
        <w:rPr>
          <w:sz w:val="20"/>
        </w:rPr>
        <w:t xml:space="preserve">(в ред. </w:t>
      </w:r>
      <w:hyperlink w:history="0" r:id="rId56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доменное имя, и (или) сетевой адрес, и (или) указатель страниц сайта в сети "Интернет", на котором обеспечивается проведение отбора (далее - информационный ресурс);</w:t>
      </w:r>
    </w:p>
    <w:p>
      <w:pPr>
        <w:pStyle w:val="0"/>
        <w:jc w:val="both"/>
      </w:pPr>
      <w:r>
        <w:rPr>
          <w:sz w:val="20"/>
        </w:rPr>
        <w:t xml:space="preserve">(пп. 5 в ред. </w:t>
      </w:r>
      <w:hyperlink w:history="0" r:id="rId56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6) требования к казачьим обществам, определенные в соответствии с </w:t>
      </w:r>
      <w:hyperlink w:history="0" w:anchor="P2010" w:tooltip="11. Казачье общество должно соответствовать следующим требованиям:">
        <w:r>
          <w:rPr>
            <w:sz w:val="20"/>
            <w:color w:val="0000ff"/>
          </w:rPr>
          <w:t xml:space="preserve">пунктом 11</w:t>
        </w:r>
      </w:hyperlink>
      <w:r>
        <w:rPr>
          <w:sz w:val="20"/>
        </w:rPr>
        <w:t xml:space="preserve"> Порядка, и к перечню документов, представляемых казачьими обществами для подтверждения соответствия указанным требованиям;</w:t>
      </w:r>
    </w:p>
    <w:p>
      <w:pPr>
        <w:pStyle w:val="0"/>
        <w:jc w:val="both"/>
      </w:pPr>
      <w:r>
        <w:rPr>
          <w:sz w:val="20"/>
        </w:rPr>
        <w:t xml:space="preserve">(пп. 6 в ред. </w:t>
      </w:r>
      <w:hyperlink w:history="0" r:id="rId56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7) категории и критерии отбора в соответствии с </w:t>
      </w:r>
      <w:hyperlink w:history="0" w:anchor="P1926" w:tooltip="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Федеральным законом от 05.12.2005 N 154-ФЗ &quot;О государственной службе российского казачества&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
        <w:r>
          <w:rPr>
            <w:sz w:val="20"/>
            <w:color w:val="0000ff"/>
          </w:rPr>
          <w:t xml:space="preserve">пунктами 5</w:t>
        </w:r>
      </w:hyperlink>
      <w:r>
        <w:rPr>
          <w:sz w:val="20"/>
        </w:rPr>
        <w:t xml:space="preserve">, </w:t>
      </w:r>
      <w:hyperlink w:history="0" w:anchor="P2021" w:tooltip="12. Субсидии предоставляются казачьим обществам, соответствующим следующим категориям и критериям отбора:">
        <w:r>
          <w:rPr>
            <w:sz w:val="20"/>
            <w:color w:val="0000ff"/>
          </w:rPr>
          <w:t xml:space="preserve">12</w:t>
        </w:r>
      </w:hyperlink>
      <w:r>
        <w:rPr>
          <w:sz w:val="20"/>
        </w:rPr>
        <w:t xml:space="preserve"> Порядка;</w:t>
      </w:r>
    </w:p>
    <w:p>
      <w:pPr>
        <w:pStyle w:val="0"/>
        <w:jc w:val="both"/>
      </w:pPr>
      <w:r>
        <w:rPr>
          <w:sz w:val="20"/>
        </w:rPr>
        <w:t xml:space="preserve">(пп. 7 в ред. </w:t>
      </w:r>
      <w:hyperlink w:history="0" r:id="rId56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8) порядок подачи казачьими обществами заявок и требования, предъявляемые к форме и содержанию заявок, в соответствии с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пунктами 13</w:t>
        </w:r>
      </w:hyperlink>
      <w:r>
        <w:rPr>
          <w:sz w:val="20"/>
        </w:rPr>
        <w:t xml:space="preserve"> - </w:t>
      </w:r>
      <w:hyperlink w:history="0" w:anchor="P2035"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jc w:val="both"/>
      </w:pPr>
      <w:r>
        <w:rPr>
          <w:sz w:val="20"/>
        </w:rPr>
        <w:t xml:space="preserve">(пп. 8 в ред. </w:t>
      </w:r>
      <w:hyperlink w:history="0" r:id="rId56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9) порядок отзыва заявок, порядок их возврата, определяющий в том числе основания для возврата заявок, порядок внесения изменений в заявки в соответствии с </w:t>
      </w:r>
      <w:hyperlink w:history="0" w:anchor="P2041" w:tooltip="16. Заявка может быть отозвана казачьим обществом в любое время до даты окончания проведения отбора.">
        <w:r>
          <w:rPr>
            <w:sz w:val="20"/>
            <w:color w:val="0000ff"/>
          </w:rPr>
          <w:t xml:space="preserve">пунктом 16</w:t>
        </w:r>
      </w:hyperlink>
      <w:r>
        <w:rPr>
          <w:sz w:val="20"/>
        </w:rPr>
        <w:t xml:space="preserve"> Порядка;</w:t>
      </w:r>
    </w:p>
    <w:p>
      <w:pPr>
        <w:pStyle w:val="0"/>
        <w:jc w:val="both"/>
      </w:pPr>
      <w:r>
        <w:rPr>
          <w:sz w:val="20"/>
        </w:rPr>
        <w:t xml:space="preserve">(пп. 9 в ред. </w:t>
      </w:r>
      <w:hyperlink w:history="0" r:id="rId56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 правила рассмотрения и оценки заявок в соответствии с </w:t>
      </w:r>
      <w:hyperlink w:history="0" w:anchor="P2052" w:tooltip="18. Доступ министерства, комиссии к поступившим заявкам открывается в системе &quot;Электронный бюджет&quot; со дня начала срока подачи заявок.">
        <w:r>
          <w:rPr>
            <w:sz w:val="20"/>
            <w:color w:val="0000ff"/>
          </w:rPr>
          <w:t xml:space="preserve">пунктами 18</w:t>
        </w:r>
      </w:hyperlink>
      <w:r>
        <w:rPr>
          <w:sz w:val="20"/>
        </w:rPr>
        <w:t xml:space="preserve"> - </w:t>
      </w:r>
      <w:hyperlink w:history="0" w:anchor="P2074" w:tooltip="20. Основаниями для отклонения заявки на стадии рассмотрения и оценки заявок являются:">
        <w:r>
          <w:rPr>
            <w:sz w:val="20"/>
            <w:color w:val="0000ff"/>
          </w:rPr>
          <w:t xml:space="preserve">20</w:t>
        </w:r>
      </w:hyperlink>
      <w:r>
        <w:rPr>
          <w:sz w:val="20"/>
        </w:rPr>
        <w:t xml:space="preserve">, </w:t>
      </w:r>
      <w:hyperlink w:history="0" w:anchor="P2083" w:tooltip="22. По результатам рассмотрения и оценки заявок комиссия принимает решение о предоставлении субсидии или об отказе в предоставлении субсидии.">
        <w:r>
          <w:rPr>
            <w:sz w:val="20"/>
            <w:color w:val="0000ff"/>
          </w:rPr>
          <w:t xml:space="preserve">22</w:t>
        </w:r>
      </w:hyperlink>
      <w:r>
        <w:rPr>
          <w:sz w:val="20"/>
        </w:rPr>
        <w:t xml:space="preserve"> - </w:t>
      </w:r>
      <w:hyperlink w:history="0" w:anchor="P2103" w:tooltip="24. В течение пяти рабочих дней со дня размещения на едином портале протокола подведения итогов министерство издает приказ о результатах отбора с указанием казачьих обществ - победителей отбора и размера предоставляемых им субсидий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quot;Интернет&quot;.">
        <w:r>
          <w:rPr>
            <w:sz w:val="20"/>
            <w:color w:val="0000ff"/>
          </w:rPr>
          <w:t xml:space="preserve">24</w:t>
        </w:r>
      </w:hyperlink>
      <w:r>
        <w:rPr>
          <w:sz w:val="20"/>
        </w:rPr>
        <w:t xml:space="preserve"> Порядка;</w:t>
      </w:r>
    </w:p>
    <w:p>
      <w:pPr>
        <w:pStyle w:val="0"/>
        <w:jc w:val="both"/>
      </w:pPr>
      <w:r>
        <w:rPr>
          <w:sz w:val="20"/>
        </w:rPr>
        <w:t xml:space="preserve">(пп. 10 в ред. </w:t>
      </w:r>
      <w:hyperlink w:history="0" r:id="rId56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11) порядок отклонения заявок, а также основания для их отклонения в соответствии с </w:t>
      </w:r>
      <w:hyperlink w:history="0" w:anchor="P2074" w:tooltip="20. Основаниями для отклонения заявки на стадии рассмотрения и оценки заявок являются:">
        <w:r>
          <w:rPr>
            <w:sz w:val="20"/>
            <w:color w:val="0000ff"/>
          </w:rPr>
          <w:t xml:space="preserve">пунктом 20</w:t>
        </w:r>
      </w:hyperlink>
      <w:r>
        <w:rPr>
          <w:sz w:val="20"/>
        </w:rPr>
        <w:t xml:space="preserve"> Порядка;</w:t>
      </w:r>
    </w:p>
    <w:p>
      <w:pPr>
        <w:pStyle w:val="0"/>
        <w:jc w:val="both"/>
      </w:pPr>
      <w:r>
        <w:rPr>
          <w:sz w:val="20"/>
        </w:rPr>
        <w:t xml:space="preserve">(пп. 11 в ред. </w:t>
      </w:r>
      <w:hyperlink w:history="0" r:id="rId56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12) информацию об объеме распределяемой субсидии в рамках отбора, о порядке расчета размера субсидии в соответствии с </w:t>
      </w:r>
      <w:hyperlink w:history="0" w:anchor="P2119" w:tooltip="28. Размер субсидии определяется в соответствии с запрашиваемым размером субсидии, указанным в заявке казачьего общества, но не более максимального размера субсидии, установленного в объявлении о проведении отбора.">
        <w:r>
          <w:rPr>
            <w:sz w:val="20"/>
            <w:color w:val="0000ff"/>
          </w:rPr>
          <w:t xml:space="preserve">пунктом 28</w:t>
        </w:r>
      </w:hyperlink>
      <w:r>
        <w:rPr>
          <w:sz w:val="20"/>
        </w:rPr>
        <w:t xml:space="preserve"> Порядка, правилах распределения субсидии в соответствии с </w:t>
      </w:r>
      <w:hyperlink w:history="0" w:anchor="P2087" w:tooltip="23. Решение о предоставлении субсидии принимается комиссией в течение 15 рабочих дней, следующих за днем окончания приема заявок в системе &quot;Электронный бюджет&quot;, исходя из соответствия организации категории и критериям отбора, указанным в пунктах 5, 12 Порядка, и требованиям, указанным в пунктах 11, 13 - 15 Порядка.">
        <w:r>
          <w:rPr>
            <w:sz w:val="20"/>
            <w:color w:val="0000ff"/>
          </w:rPr>
          <w:t xml:space="preserve">пунктом 23</w:t>
        </w:r>
      </w:hyperlink>
      <w:r>
        <w:rPr>
          <w:sz w:val="20"/>
        </w:rPr>
        <w:t xml:space="preserve"> Порядка, максимальном размере субсидии, установленном приказом министерства;</w:t>
      </w:r>
    </w:p>
    <w:p>
      <w:pPr>
        <w:pStyle w:val="0"/>
        <w:jc w:val="both"/>
      </w:pPr>
      <w:r>
        <w:rPr>
          <w:sz w:val="20"/>
        </w:rPr>
        <w:t xml:space="preserve">(пп. 12 в ред. </w:t>
      </w:r>
      <w:hyperlink w:history="0" r:id="rId56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13) порядок предоставления казачьим обществам разъяснений положений объявления о проведении отбора, даты начала и окончания срока такого предоставления;</w:t>
      </w:r>
    </w:p>
    <w:p>
      <w:pPr>
        <w:pStyle w:val="0"/>
        <w:jc w:val="both"/>
      </w:pPr>
      <w:r>
        <w:rPr>
          <w:sz w:val="20"/>
        </w:rPr>
        <w:t xml:space="preserve">(пп. 13 в ред. </w:t>
      </w:r>
      <w:hyperlink w:history="0" r:id="rId57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срок, в течение которого казачье общество - победитель отбора должно подписать соглашение;</w:t>
      </w:r>
    </w:p>
    <w:p>
      <w:pPr>
        <w:pStyle w:val="0"/>
        <w:jc w:val="both"/>
      </w:pPr>
      <w:r>
        <w:rPr>
          <w:sz w:val="20"/>
        </w:rPr>
        <w:t xml:space="preserve">(пп. 14 в ред. </w:t>
      </w:r>
      <w:hyperlink w:history="0" r:id="rId57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15) условия признания казачьих обществ - победителей отбора уклонившимися от заключения соглашения;</w:t>
      </w:r>
    </w:p>
    <w:p>
      <w:pPr>
        <w:pStyle w:val="0"/>
        <w:jc w:val="both"/>
      </w:pPr>
      <w:r>
        <w:rPr>
          <w:sz w:val="20"/>
        </w:rPr>
        <w:t xml:space="preserve">(пп. 15 в ред. </w:t>
      </w:r>
      <w:hyperlink w:history="0" r:id="rId57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16) сроки размещения протокола подведения итогов отбора на едином портале и на официальном сайте министерства в сети "Интернет", которые не может быть позднее 14-го календарного дня, следующего за днем определения победителя отбора.</w:t>
      </w:r>
    </w:p>
    <w:p>
      <w:pPr>
        <w:pStyle w:val="0"/>
        <w:jc w:val="both"/>
      </w:pPr>
      <w:r>
        <w:rPr>
          <w:sz w:val="20"/>
        </w:rPr>
        <w:t xml:space="preserve">(пп. 16 введен </w:t>
      </w:r>
      <w:hyperlink w:history="0" r:id="rId57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10.1. Министерство не позднее наступления даты окончания приема заявок может внести изменения в объявление о проведении отбора с соблюдением следующих условий:</w:t>
      </w:r>
    </w:p>
    <w:p>
      <w:pPr>
        <w:pStyle w:val="0"/>
        <w:spacing w:before="200" w:line-rule="auto"/>
        <w:ind w:firstLine="540"/>
        <w:jc w:val="both"/>
      </w:pPr>
      <w:r>
        <w:rPr>
          <w:sz w:val="20"/>
        </w:rPr>
        <w:t xml:space="preserve">срок подачи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трех календарных дней;</w:t>
      </w:r>
    </w:p>
    <w:p>
      <w:pPr>
        <w:pStyle w:val="0"/>
        <w:spacing w:before="200" w:line-rule="auto"/>
        <w:ind w:firstLine="540"/>
        <w:jc w:val="both"/>
      </w:pPr>
      <w:r>
        <w:rPr>
          <w:sz w:val="20"/>
        </w:rPr>
        <w:t xml:space="preserve">при внесении изменений в объявление о проведении отбора не допускается изменение способа отбора;</w:t>
      </w:r>
    </w:p>
    <w:p>
      <w:pPr>
        <w:pStyle w:val="0"/>
        <w:spacing w:before="200" w:line-rule="auto"/>
        <w:ind w:firstLine="540"/>
        <w:jc w:val="both"/>
      </w:pPr>
      <w:r>
        <w:rPr>
          <w:sz w:val="20"/>
        </w:rPr>
        <w:t xml:space="preserve">в случае внесения изменений в объявление о проведении отбора после наступления даты начала приема заявок в объявление о проведении отбора включается положение, предусматривающее право казачьих обществ на внесение изменений в заявки;</w:t>
      </w:r>
    </w:p>
    <w:p>
      <w:pPr>
        <w:pStyle w:val="0"/>
        <w:spacing w:before="200" w:line-rule="auto"/>
        <w:ind w:firstLine="540"/>
        <w:jc w:val="both"/>
      </w:pPr>
      <w:r>
        <w:rPr>
          <w:sz w:val="20"/>
        </w:rPr>
        <w:t xml:space="preserve">казачьи общества, подавшие заявку, уведомляются о внесении изменений в объявление о проведении отбора не позднее дня, следующего за днем внесения изменений в объявление о проведении отбора, с использованием системы "Электронный бюджет".</w:t>
      </w:r>
    </w:p>
    <w:p>
      <w:pPr>
        <w:pStyle w:val="0"/>
        <w:jc w:val="both"/>
      </w:pPr>
      <w:r>
        <w:rPr>
          <w:sz w:val="20"/>
        </w:rPr>
        <w:t xml:space="preserve">(п. 10.1 введен </w:t>
      </w:r>
      <w:hyperlink w:history="0" r:id="rId57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2010" w:name="P2010"/>
    <w:bookmarkEnd w:id="2010"/>
    <w:p>
      <w:pPr>
        <w:pStyle w:val="0"/>
        <w:spacing w:before="200" w:line-rule="auto"/>
        <w:ind w:firstLine="540"/>
        <w:jc w:val="both"/>
      </w:pPr>
      <w:r>
        <w:rPr>
          <w:sz w:val="20"/>
        </w:rPr>
        <w:t xml:space="preserve">11. Казачье общество должно соответствовать следующим требованиям:</w:t>
      </w:r>
    </w:p>
    <w:bookmarkStart w:id="2011" w:name="P2011"/>
    <w:bookmarkEnd w:id="2011"/>
    <w:p>
      <w:pPr>
        <w:pStyle w:val="0"/>
        <w:spacing w:before="200" w:line-rule="auto"/>
        <w:ind w:firstLine="540"/>
        <w:jc w:val="both"/>
      </w:pPr>
      <w:r>
        <w:rPr>
          <w:sz w:val="20"/>
        </w:rPr>
        <w:t xml:space="preserve">1) на дату подачи заявки:</w:t>
      </w:r>
    </w:p>
    <w:p>
      <w:pPr>
        <w:pStyle w:val="0"/>
        <w:spacing w:before="200" w:line-rule="auto"/>
        <w:ind w:firstLine="540"/>
        <w:jc w:val="both"/>
      </w:pPr>
      <w:r>
        <w:rPr>
          <w:sz w:val="20"/>
        </w:rPr>
        <w:t xml:space="preserve">а) казачье общество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pPr>
        <w:pStyle w:val="0"/>
        <w:spacing w:before="200" w:line-rule="auto"/>
        <w:ind w:firstLine="540"/>
        <w:jc w:val="both"/>
      </w:pPr>
      <w:r>
        <w:rPr>
          <w:sz w:val="20"/>
        </w:rPr>
        <w:t xml:space="preserve">б) казачье общество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pPr>
        <w:pStyle w:val="0"/>
        <w:spacing w:before="200" w:line-rule="auto"/>
        <w:ind w:firstLine="540"/>
        <w:jc w:val="both"/>
      </w:pPr>
      <w:r>
        <w:rPr>
          <w:sz w:val="20"/>
        </w:rPr>
        <w:t xml:space="preserve">в) казачье общество не находится в составляемых в рамках реализации полномочий, предусмотренных </w:t>
      </w:r>
      <w:hyperlink w:history="0" r:id="rId575" w:tooltip="&quot;Раздел I. Понятие международного права, его сущность и роль в международных отношениях, политике и дипломатии. 1. Устав Организации Объединенных Наций&quot; (Принят в г. Сан-Франциско 26.06.1945) (с изм. и доп. от 20.12.1971) {КонсультантПлюс}">
        <w:r>
          <w:rPr>
            <w:sz w:val="20"/>
            <w:color w:val="0000ff"/>
          </w:rPr>
          <w:t xml:space="preserve">главой VII</w:t>
        </w:r>
      </w:hyperlink>
      <w:r>
        <w:rPr>
          <w:sz w:val="20"/>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pPr>
        <w:pStyle w:val="0"/>
        <w:spacing w:before="200" w:line-rule="auto"/>
        <w:ind w:firstLine="540"/>
        <w:jc w:val="both"/>
      </w:pPr>
      <w:r>
        <w:rPr>
          <w:sz w:val="20"/>
        </w:rPr>
        <w:t xml:space="preserve">г) казачье общество не получает средства из областного бюджета на основании иных нормативных правовых актов Новосибирской области на цели, установленные </w:t>
      </w:r>
      <w:hyperlink w:history="0" w:anchor="P1924" w:tooltip="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
        <w:r>
          <w:rPr>
            <w:sz w:val="20"/>
            <w:color w:val="0000ff"/>
          </w:rPr>
          <w:t xml:space="preserve">пунктом 4</w:t>
        </w:r>
      </w:hyperlink>
      <w:r>
        <w:rPr>
          <w:sz w:val="20"/>
        </w:rPr>
        <w:t xml:space="preserve"> Порядка;</w:t>
      </w:r>
    </w:p>
    <w:p>
      <w:pPr>
        <w:pStyle w:val="0"/>
        <w:spacing w:before="200" w:line-rule="auto"/>
        <w:ind w:firstLine="540"/>
        <w:jc w:val="both"/>
      </w:pPr>
      <w:r>
        <w:rPr>
          <w:sz w:val="20"/>
        </w:rPr>
        <w:t xml:space="preserve">д) казачье общество не является иностранным агентом в соответствии с Федеральным </w:t>
      </w:r>
      <w:hyperlink w:history="0" r:id="rId576" w:tooltip="Федеральный закон от 14.07.2022 N 255-ФЗ (ред. от 28.12.2024) &quot;О контроле за деятельностью лиц, находящихся под иностранным влиянием&quot; {КонсультантПлюс}">
        <w:r>
          <w:rPr>
            <w:sz w:val="20"/>
            <w:color w:val="0000ff"/>
          </w:rPr>
          <w:t xml:space="preserve">законом</w:t>
        </w:r>
      </w:hyperlink>
      <w:r>
        <w:rPr>
          <w:sz w:val="20"/>
        </w:rPr>
        <w:t xml:space="preserve"> от 14.07.2022 N 255-ФЗ "О контроле за деятельностью лиц, находящихся под иностранным влиянием";</w:t>
      </w:r>
    </w:p>
    <w:p>
      <w:pPr>
        <w:pStyle w:val="0"/>
        <w:spacing w:before="200" w:line-rule="auto"/>
        <w:ind w:firstLine="540"/>
        <w:jc w:val="both"/>
      </w:pPr>
      <w:r>
        <w:rPr>
          <w:sz w:val="20"/>
        </w:rPr>
        <w:t xml:space="preserve">е) у казачьего общества отсутствуют просроченная задолженность по возврату в областной бюджет иных субсидий, бюджетных инвестиций, а также иная просроченная (неурегулированная) задолженность по денежным обязательствам перед Новосибирской областью (за исключением случаев, установленных Правительством Новосибирской области);</w:t>
      </w:r>
    </w:p>
    <w:p>
      <w:pPr>
        <w:pStyle w:val="0"/>
        <w:spacing w:before="200" w:line-rule="auto"/>
        <w:ind w:firstLine="540"/>
        <w:jc w:val="both"/>
      </w:pPr>
      <w:r>
        <w:rPr>
          <w:sz w:val="20"/>
        </w:rPr>
        <w:t xml:space="preserve">ж) казачье общество не находится в процессе реорганизации (за исключением реорганизации в форме присоединения организации другого юридического лица), ликвидации, в отношении него не введена процедура банкротства, деятельность казачьего общества не приостановлена в порядке, предусмотренном законодательством Российской Федерации;</w:t>
      </w:r>
    </w:p>
    <w:p>
      <w:pPr>
        <w:pStyle w:val="0"/>
        <w:spacing w:before="200" w:line-rule="auto"/>
        <w:ind w:firstLine="540"/>
        <w:jc w:val="both"/>
      </w:pPr>
      <w:r>
        <w:rPr>
          <w:sz w:val="20"/>
        </w:rPr>
        <w:t xml:space="preserve">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казачьего общества;</w:t>
      </w:r>
    </w:p>
    <w:p>
      <w:pPr>
        <w:pStyle w:val="0"/>
        <w:spacing w:before="200" w:line-rule="auto"/>
        <w:ind w:firstLine="540"/>
        <w:jc w:val="both"/>
      </w:pPr>
      <w:r>
        <w:rPr>
          <w:sz w:val="20"/>
        </w:rPr>
        <w:t xml:space="preserve">2) на дату не ранее начала срока подачи заявки у казачьего общества на едином налоговом счете отсутствует или не превышает размер, определенный </w:t>
      </w:r>
      <w:hyperlink w:history="0" r:id="rId577" w:tooltip="&quot;Налоговый кодекс Российской Федерации (часть первая)&quot; от 31.07.1998 N 146-ФЗ (ред. от 29.11.2024, с изм. от 21.01.2025) (с изм. и доп., вступ. в силу с 05.02.2025) {КонсультантПлюс}">
        <w:r>
          <w:rPr>
            <w:sz w:val="20"/>
            <w:color w:val="0000ff"/>
          </w:rPr>
          <w:t xml:space="preserve">пунктом 3 статьи 47</w:t>
        </w:r>
      </w:hyperlink>
      <w:r>
        <w:rPr>
          <w:sz w:val="20"/>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bookmarkStart w:id="2021" w:name="P2021"/>
    <w:bookmarkEnd w:id="2021"/>
    <w:p>
      <w:pPr>
        <w:pStyle w:val="0"/>
        <w:spacing w:before="200" w:line-rule="auto"/>
        <w:ind w:firstLine="540"/>
        <w:jc w:val="both"/>
      </w:pPr>
      <w:r>
        <w:rPr>
          <w:sz w:val="20"/>
        </w:rPr>
        <w:t xml:space="preserve">12. Субсидии предоставляются казачьим обществам, соответствующим следующим категориям и критериям отбора:</w:t>
      </w:r>
    </w:p>
    <w:p>
      <w:pPr>
        <w:pStyle w:val="0"/>
        <w:spacing w:before="200" w:line-rule="auto"/>
        <w:ind w:firstLine="540"/>
        <w:jc w:val="both"/>
      </w:pPr>
      <w:r>
        <w:rPr>
          <w:sz w:val="20"/>
        </w:rPr>
        <w:t xml:space="preserve">1) соответствие закрепленных в уставе видов деятельности казачьего общества видам деятельности, указанным в </w:t>
      </w:r>
      <w:hyperlink w:history="0" w:anchor="P1924" w:tooltip="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
        <w:r>
          <w:rPr>
            <w:sz w:val="20"/>
            <w:color w:val="0000ff"/>
          </w:rPr>
          <w:t xml:space="preserve">пункте 4</w:t>
        </w:r>
      </w:hyperlink>
      <w:r>
        <w:rPr>
          <w:sz w:val="20"/>
        </w:rPr>
        <w:t xml:space="preserve"> Порядка;</w:t>
      </w:r>
    </w:p>
    <w:p>
      <w:pPr>
        <w:pStyle w:val="0"/>
        <w:spacing w:before="200" w:line-rule="auto"/>
        <w:ind w:firstLine="540"/>
        <w:jc w:val="both"/>
      </w:pPr>
      <w:r>
        <w:rPr>
          <w:sz w:val="20"/>
        </w:rPr>
        <w:t xml:space="preserve">2) включение казачьего общества в государственный реестр казачьих обществ в Российской Федерации.</w:t>
      </w:r>
    </w:p>
    <w:bookmarkStart w:id="2024" w:name="P2024"/>
    <w:bookmarkEnd w:id="2024"/>
    <w:p>
      <w:pPr>
        <w:pStyle w:val="0"/>
        <w:spacing w:before="200" w:line-rule="auto"/>
        <w:ind w:firstLine="540"/>
        <w:jc w:val="both"/>
      </w:pPr>
      <w:r>
        <w:rPr>
          <w:sz w:val="20"/>
        </w:rPr>
        <w:t xml:space="preserve">13. Заявка формируется казачьими обществами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w:t>
      </w:r>
    </w:p>
    <w:p>
      <w:pPr>
        <w:pStyle w:val="0"/>
        <w:spacing w:before="200" w:line-rule="auto"/>
        <w:ind w:firstLine="540"/>
        <w:jc w:val="both"/>
      </w:pPr>
      <w:r>
        <w:rPr>
          <w:sz w:val="20"/>
        </w:rPr>
        <w:t xml:space="preserve">1) согласие на обработку персональных данных физических лиц, если информация (в том числе документы), включенная в состав заявки, содержит такие данные;</w:t>
      </w:r>
    </w:p>
    <w:p>
      <w:pPr>
        <w:pStyle w:val="0"/>
        <w:spacing w:before="200" w:line-rule="auto"/>
        <w:ind w:firstLine="540"/>
        <w:jc w:val="both"/>
      </w:pPr>
      <w:r>
        <w:rPr>
          <w:sz w:val="20"/>
        </w:rPr>
        <w:t xml:space="preserve">2) информацию о соответствии казачьего общества требованиям, указанным в </w:t>
      </w:r>
      <w:hyperlink w:history="0" w:anchor="P2011" w:tooltip="1) на дату подачи заявки:">
        <w:r>
          <w:rPr>
            <w:sz w:val="20"/>
            <w:color w:val="0000ff"/>
          </w:rPr>
          <w:t xml:space="preserve">подпункте 1 пункта 11</w:t>
        </w:r>
      </w:hyperlink>
      <w:r>
        <w:rPr>
          <w:sz w:val="20"/>
        </w:rPr>
        <w:t xml:space="preserve"> Порядка;</w:t>
      </w:r>
    </w:p>
    <w:p>
      <w:pPr>
        <w:pStyle w:val="0"/>
        <w:spacing w:before="200" w:line-rule="auto"/>
        <w:ind w:firstLine="540"/>
        <w:jc w:val="both"/>
      </w:pPr>
      <w:r>
        <w:rPr>
          <w:sz w:val="20"/>
        </w:rPr>
        <w:t xml:space="preserve">3) копии документов, подтверждающих полномочия лица на подачу заявки от имени казачьего общества, в случае, если заявку подает лицо, сведения о котором как о лице, имеющем право без доверенности действовать от имени казачьего общества, не содержатся в едином государственном реестре юридических лиц (далее - уполномоченное лицо), заверенные печатью (при наличии) казачьего общества и подписью руководителя казачьего общества или уполномоченного лица;</w:t>
      </w:r>
    </w:p>
    <w:p>
      <w:pPr>
        <w:pStyle w:val="0"/>
        <w:spacing w:before="200" w:line-rule="auto"/>
        <w:ind w:firstLine="540"/>
        <w:jc w:val="both"/>
      </w:pPr>
      <w:r>
        <w:rPr>
          <w:sz w:val="20"/>
        </w:rPr>
        <w:t xml:space="preserve">4) копию действующей редакции устава казачьего общества;</w:t>
      </w:r>
    </w:p>
    <w:p>
      <w:pPr>
        <w:pStyle w:val="0"/>
        <w:spacing w:before="200" w:line-rule="auto"/>
        <w:ind w:firstLine="540"/>
        <w:jc w:val="both"/>
      </w:pPr>
      <w:r>
        <w:rPr>
          <w:sz w:val="20"/>
        </w:rPr>
        <w:t xml:space="preserve">5) справку о банковских реквизитах казачьего общества, выданную банком или иной кредитной организацией.</w:t>
      </w:r>
    </w:p>
    <w:p>
      <w:pPr>
        <w:pStyle w:val="0"/>
        <w:spacing w:before="200" w:line-rule="auto"/>
        <w:ind w:firstLine="540"/>
        <w:jc w:val="both"/>
      </w:pPr>
      <w:r>
        <w:rPr>
          <w:sz w:val="20"/>
        </w:rPr>
        <w:t xml:space="preserve">Ответственность за достоверность и полноту представляемых документов и содержащихся в них сведений возлагается на казачье общество.</w:t>
      </w:r>
    </w:p>
    <w:p>
      <w:pPr>
        <w:pStyle w:val="0"/>
        <w:spacing w:before="200" w:line-rule="auto"/>
        <w:ind w:firstLine="540"/>
        <w:jc w:val="both"/>
      </w:pPr>
      <w:r>
        <w:rPr>
          <w:sz w:val="20"/>
        </w:rPr>
        <w:t xml:space="preserve">Заявка подписывается усиленной квалифицированной электронной подписью руководителя казачьего общества или уполномоченного им лица.</w:t>
      </w:r>
    </w:p>
    <w:p>
      <w:pPr>
        <w:pStyle w:val="0"/>
        <w:spacing w:before="200" w:line-rule="auto"/>
        <w:ind w:firstLine="540"/>
        <w:jc w:val="both"/>
      </w:pPr>
      <w:r>
        <w:rPr>
          <w:sz w:val="20"/>
        </w:rPr>
        <w:t xml:space="preserve">Датой и временем представления казачьим обществом заявки считаются дата и время подписания указанной заявки с присвоением ей регистрационного номера в системе "Электронный бюджет".</w:t>
      </w:r>
    </w:p>
    <w:p>
      <w:pPr>
        <w:pStyle w:val="0"/>
        <w:jc w:val="both"/>
      </w:pPr>
      <w:r>
        <w:rPr>
          <w:sz w:val="20"/>
        </w:rPr>
        <w:t xml:space="preserve">(п. 13 в ред. </w:t>
      </w:r>
      <w:hyperlink w:history="0" r:id="rId57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14. Одно казачье общество в рамках отбора может подать не более одной заявки.</w:t>
      </w:r>
    </w:p>
    <w:bookmarkStart w:id="2035" w:name="P2035"/>
    <w:bookmarkEnd w:id="2035"/>
    <w:p>
      <w:pPr>
        <w:pStyle w:val="0"/>
        <w:spacing w:before="200" w:line-rule="auto"/>
        <w:ind w:firstLine="540"/>
        <w:jc w:val="both"/>
      </w:pPr>
      <w:r>
        <w:rPr>
          <w:sz w:val="20"/>
        </w:rPr>
        <w:t xml:space="preserve">15. Заявка и документы, указанные в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пункте 13</w:t>
        </w:r>
      </w:hyperlink>
      <w:r>
        <w:rPr>
          <w:sz w:val="20"/>
        </w:rPr>
        <w:t xml:space="preserve"> Порядка, должны соответствовать следующим требованиям:</w:t>
      </w:r>
    </w:p>
    <w:p>
      <w:pPr>
        <w:pStyle w:val="0"/>
        <w:jc w:val="both"/>
      </w:pPr>
      <w:r>
        <w:rPr>
          <w:sz w:val="20"/>
        </w:rPr>
        <w:t xml:space="preserve">(в ред. </w:t>
      </w:r>
      <w:hyperlink w:history="0" r:id="rId57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быть хорошо читаемы, преобразованы в электронную форму в формате DOC и (или) PDF путем сканирования документа на бумажном носителе с передачей цвета;</w:t>
      </w:r>
    </w:p>
    <w:p>
      <w:pPr>
        <w:pStyle w:val="0"/>
        <w:spacing w:before="200" w:line-rule="auto"/>
        <w:ind w:firstLine="540"/>
        <w:jc w:val="both"/>
      </w:pPr>
      <w:r>
        <w:rPr>
          <w:sz w:val="20"/>
        </w:rPr>
        <w:t xml:space="preserve">2) файл должен содержать один полный документ (сканировать документы необходимо целиком, а не постранично);</w:t>
      </w:r>
    </w:p>
    <w:p>
      <w:pPr>
        <w:pStyle w:val="0"/>
        <w:spacing w:before="200" w:line-rule="auto"/>
        <w:ind w:firstLine="540"/>
        <w:jc w:val="both"/>
      </w:pPr>
      <w:r>
        <w:rPr>
          <w:sz w:val="20"/>
        </w:rPr>
        <w:t xml:space="preserve">3) название файла должно совпадать с заголовком документа или давать ясное понимание назначения документа.</w:t>
      </w:r>
    </w:p>
    <w:p>
      <w:pPr>
        <w:pStyle w:val="0"/>
        <w:spacing w:before="200" w:line-rule="auto"/>
        <w:ind w:firstLine="540"/>
        <w:jc w:val="both"/>
      </w:pPr>
      <w:r>
        <w:rPr>
          <w:sz w:val="20"/>
        </w:rPr>
        <w:t xml:space="preserve">Абзац утратил силу. - </w:t>
      </w:r>
      <w:hyperlink w:history="0" r:id="rId58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2041" w:name="P2041"/>
    <w:bookmarkEnd w:id="2041"/>
    <w:p>
      <w:pPr>
        <w:pStyle w:val="0"/>
        <w:spacing w:before="200" w:line-rule="auto"/>
        <w:ind w:firstLine="540"/>
        <w:jc w:val="both"/>
      </w:pPr>
      <w:r>
        <w:rPr>
          <w:sz w:val="20"/>
        </w:rPr>
        <w:t xml:space="preserve">16. Заявка может быть отозвана казачьим обществом в любое время до даты окончания проведения отбора.</w:t>
      </w:r>
    </w:p>
    <w:p>
      <w:pPr>
        <w:pStyle w:val="0"/>
        <w:spacing w:before="200" w:line-rule="auto"/>
        <w:ind w:firstLine="540"/>
        <w:jc w:val="both"/>
      </w:pPr>
      <w:r>
        <w:rPr>
          <w:sz w:val="20"/>
        </w:rPr>
        <w:t xml:space="preserve">Внесение изменений в заявку допускается до окончания срока приема заявок через систему "Электронный бюджет".</w:t>
      </w:r>
    </w:p>
    <w:p>
      <w:pPr>
        <w:pStyle w:val="0"/>
        <w:spacing w:before="200" w:line-rule="auto"/>
        <w:ind w:firstLine="540"/>
        <w:jc w:val="both"/>
      </w:pPr>
      <w:r>
        <w:rPr>
          <w:sz w:val="20"/>
        </w:rPr>
        <w:t xml:space="preserve">Возврат заявки на доработку допускается в случае необходимости представления для включения в ее состав дополнительной информации (в том числе документов), исправления описок, опечаток, орфографических и арифметических ошибок, допущенных в документах в составе заявки.</w:t>
      </w:r>
    </w:p>
    <w:p>
      <w:pPr>
        <w:pStyle w:val="0"/>
        <w:spacing w:before="200" w:line-rule="auto"/>
        <w:ind w:firstLine="540"/>
        <w:jc w:val="both"/>
      </w:pPr>
      <w:r>
        <w:rPr>
          <w:sz w:val="20"/>
        </w:rPr>
        <w:t xml:space="preserve">Изменения в заявку вносятся и регистрируются в соответствии с процедурой подачи заявок. Датой представления изменений в заявку считается день подписания казачьим обществом изменений в заявку в системе "Электронный бюджет".</w:t>
      </w:r>
    </w:p>
    <w:p>
      <w:pPr>
        <w:pStyle w:val="0"/>
        <w:spacing w:before="200" w:line-rule="auto"/>
        <w:ind w:firstLine="540"/>
        <w:jc w:val="both"/>
      </w:pPr>
      <w:r>
        <w:rPr>
          <w:sz w:val="20"/>
        </w:rPr>
        <w:t xml:space="preserve">Отозванные заявки не учитываются при определении количества поданных заявок.</w:t>
      </w:r>
    </w:p>
    <w:p>
      <w:pPr>
        <w:pStyle w:val="0"/>
        <w:jc w:val="both"/>
      </w:pPr>
      <w:r>
        <w:rPr>
          <w:sz w:val="20"/>
        </w:rPr>
        <w:t xml:space="preserve">(п. 16 в ред. </w:t>
      </w:r>
      <w:hyperlink w:history="0" r:id="rId58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17. Казачьи общества со дня размещения объявления о проведении отбора и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отбора путем формирования в системе "Электронный бюджет" соответствующего запроса.</w:t>
      </w:r>
    </w:p>
    <w:bookmarkStart w:id="2048" w:name="P2048"/>
    <w:bookmarkEnd w:id="2048"/>
    <w:p>
      <w:pPr>
        <w:pStyle w:val="0"/>
        <w:spacing w:before="200" w:line-rule="auto"/>
        <w:ind w:firstLine="540"/>
        <w:jc w:val="both"/>
      </w:pPr>
      <w:r>
        <w:rPr>
          <w:sz w:val="20"/>
        </w:rPr>
        <w:t xml:space="preserve">Министерство в течение трех рабочих дней со дня получения запроса, но не позднее одного рабочего дня до дня завершения подачи заявок направляет ответ по предмету запроса путем формирования в системе "Электронный бюджет" соответствующего разъяснения.</w:t>
      </w:r>
    </w:p>
    <w:p>
      <w:pPr>
        <w:pStyle w:val="0"/>
        <w:spacing w:before="200" w:line-rule="auto"/>
        <w:ind w:firstLine="540"/>
        <w:jc w:val="both"/>
      </w:pPr>
      <w:r>
        <w:rPr>
          <w:sz w:val="20"/>
        </w:rPr>
        <w:t xml:space="preserve">Представленное министерством разъяснение положений объявления о проведении отбора не должно изменять суть информации, содержащейся в указанном объявлении.</w:t>
      </w:r>
    </w:p>
    <w:p>
      <w:pPr>
        <w:pStyle w:val="0"/>
        <w:spacing w:before="200" w:line-rule="auto"/>
        <w:ind w:firstLine="540"/>
        <w:jc w:val="both"/>
      </w:pPr>
      <w:r>
        <w:rPr>
          <w:sz w:val="20"/>
        </w:rPr>
        <w:t xml:space="preserve">Доступ к разъяснению, формируемому в системе "Электронный бюджет" в соответствии с </w:t>
      </w:r>
      <w:hyperlink w:history="0" w:anchor="P2048" w:tooltip="Министерство в течение трех рабочих дней со дня получения запроса, но не позднее одного рабочего дня до дня завершения подачи заявок направляет ответ по предмету запроса путем формирования в системе &quot;Электронный бюджет&quot; соответствующего разъяснения.">
        <w:r>
          <w:rPr>
            <w:sz w:val="20"/>
            <w:color w:val="0000ff"/>
          </w:rPr>
          <w:t xml:space="preserve">абзацем вторым</w:t>
        </w:r>
      </w:hyperlink>
      <w:r>
        <w:rPr>
          <w:sz w:val="20"/>
        </w:rPr>
        <w:t xml:space="preserve"> настоящего пункта, предоставляется всем участникам отбора.</w:t>
      </w:r>
    </w:p>
    <w:p>
      <w:pPr>
        <w:pStyle w:val="0"/>
        <w:jc w:val="both"/>
      </w:pPr>
      <w:r>
        <w:rPr>
          <w:sz w:val="20"/>
        </w:rPr>
        <w:t xml:space="preserve">(п. 17 в ред. </w:t>
      </w:r>
      <w:hyperlink w:history="0" r:id="rId58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2052" w:name="P2052"/>
    <w:bookmarkEnd w:id="2052"/>
    <w:p>
      <w:pPr>
        <w:pStyle w:val="0"/>
        <w:spacing w:before="200" w:line-rule="auto"/>
        <w:ind w:firstLine="540"/>
        <w:jc w:val="both"/>
      </w:pPr>
      <w:r>
        <w:rPr>
          <w:sz w:val="20"/>
        </w:rPr>
        <w:t xml:space="preserve">18. Доступ министерства, комиссии к поступившим заявкам открывается в системе "Электронный бюджет" со дня начала срока подачи заявок.</w:t>
      </w:r>
    </w:p>
    <w:p>
      <w:pPr>
        <w:pStyle w:val="0"/>
        <w:spacing w:before="200" w:line-rule="auto"/>
        <w:ind w:firstLine="540"/>
        <w:jc w:val="both"/>
      </w:pPr>
      <w:r>
        <w:rPr>
          <w:sz w:val="20"/>
        </w:rPr>
        <w:t xml:space="preserve">Протокол вскрытия заявок формируется на едином портале автоматически и подписывается усиленной квалифицированной электронной подписью председателя комиссии в системе "Электронный бюджет", а также размещается на едином портале не позднее одного рабочего дня, следующего за днем его подписания.</w:t>
      </w:r>
    </w:p>
    <w:p>
      <w:pPr>
        <w:pStyle w:val="0"/>
        <w:jc w:val="both"/>
      </w:pPr>
      <w:r>
        <w:rPr>
          <w:sz w:val="20"/>
        </w:rPr>
        <w:t xml:space="preserve">(п. 18 в ред. </w:t>
      </w:r>
      <w:hyperlink w:history="0" r:id="rId58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2055" w:name="P2055"/>
    <w:bookmarkEnd w:id="2055"/>
    <w:p>
      <w:pPr>
        <w:pStyle w:val="0"/>
        <w:spacing w:before="200" w:line-rule="auto"/>
        <w:ind w:firstLine="540"/>
        <w:jc w:val="both"/>
      </w:pPr>
      <w:r>
        <w:rPr>
          <w:sz w:val="20"/>
        </w:rPr>
        <w:t xml:space="preserve">18.1. Проверка казачьего общества на соответствие требованиям, указанным в </w:t>
      </w:r>
      <w:hyperlink w:history="0" w:anchor="P2010" w:tooltip="11. Казачье общество должно соответствовать следующим требованиям:">
        <w:r>
          <w:rPr>
            <w:sz w:val="20"/>
            <w:color w:val="0000ff"/>
          </w:rPr>
          <w:t xml:space="preserve">пункте 11</w:t>
        </w:r>
      </w:hyperlink>
      <w:r>
        <w:rPr>
          <w:sz w:val="20"/>
        </w:rPr>
        <w:t xml:space="preserve"> Порядка,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pPr>
        <w:pStyle w:val="0"/>
        <w:spacing w:before="200" w:line-rule="auto"/>
        <w:ind w:firstLine="540"/>
        <w:jc w:val="both"/>
      </w:pPr>
      <w:r>
        <w:rPr>
          <w:sz w:val="20"/>
        </w:rPr>
        <w:t xml:space="preserve">Подтверждение соответствия казачьего общества требованиям, установленным </w:t>
      </w:r>
      <w:hyperlink w:history="0" w:anchor="P2010" w:tooltip="11. Казачье общество должно соответствовать следующим требованиям:">
        <w:r>
          <w:rPr>
            <w:sz w:val="20"/>
            <w:color w:val="0000ff"/>
          </w:rPr>
          <w:t xml:space="preserve">пунктом 11</w:t>
        </w:r>
      </w:hyperlink>
      <w:r>
        <w:rPr>
          <w:sz w:val="20"/>
        </w:rPr>
        <w:t xml:space="preserve"> Порядка, в случае отсутствия технической возможности осуществления автоматической проверки в системе "Электронный бюджет" осуществляется путем проставления казачьим обществом в электронном виде отметок о соответствии указанным требованиям посредством заполнения соответствующих экранных форм веб-интерфейса системы "Электронный бюджет".</w:t>
      </w:r>
    </w:p>
    <w:p>
      <w:pPr>
        <w:pStyle w:val="0"/>
        <w:jc w:val="both"/>
      </w:pPr>
      <w:r>
        <w:rPr>
          <w:sz w:val="20"/>
        </w:rPr>
        <w:t xml:space="preserve">(п. 18.1 введен </w:t>
      </w:r>
      <w:hyperlink w:history="0" r:id="rId58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2058" w:name="P2058"/>
    <w:bookmarkEnd w:id="2058"/>
    <w:p>
      <w:pPr>
        <w:pStyle w:val="0"/>
        <w:spacing w:before="200" w:line-rule="auto"/>
        <w:ind w:firstLine="540"/>
        <w:jc w:val="both"/>
      </w:pPr>
      <w:r>
        <w:rPr>
          <w:sz w:val="20"/>
        </w:rPr>
        <w:t xml:space="preserve">19. Министерство на стадии проверки документов казачьего общества в рамках межведомственного информационного взаимодействия запрашивает в государственных информационных системах, а также в соответствующих органах и организациях следующие сведения:</w:t>
      </w:r>
    </w:p>
    <w:p>
      <w:pPr>
        <w:pStyle w:val="0"/>
        <w:jc w:val="both"/>
      </w:pPr>
      <w:r>
        <w:rPr>
          <w:sz w:val="20"/>
        </w:rPr>
        <w:t xml:space="preserve">(в ред. </w:t>
      </w:r>
      <w:hyperlink w:history="0" r:id="rId58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pPr>
        <w:pStyle w:val="0"/>
        <w:jc w:val="both"/>
      </w:pPr>
      <w:r>
        <w:rPr>
          <w:sz w:val="20"/>
        </w:rPr>
        <w:t xml:space="preserve">(в ред. </w:t>
      </w:r>
      <w:hyperlink w:history="0" r:id="rId58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содержащиеся в Едином государственном реестре юридических лиц;</w:t>
      </w:r>
    </w:p>
    <w:p>
      <w:pPr>
        <w:pStyle w:val="0"/>
        <w:jc w:val="both"/>
      </w:pPr>
      <w:r>
        <w:rPr>
          <w:sz w:val="20"/>
        </w:rPr>
        <w:t xml:space="preserve">(пп. 2 в ред. </w:t>
      </w:r>
      <w:hyperlink w:history="0" r:id="rId58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 содержащиеся в реестре дисквалифицированных лиц о конкретном дисквалифицированном лице либо информации об отсутствии запрашиваемых сведений;</w:t>
      </w:r>
    </w:p>
    <w:p>
      <w:pPr>
        <w:pStyle w:val="0"/>
        <w:jc w:val="both"/>
      </w:pPr>
      <w:r>
        <w:rPr>
          <w:sz w:val="20"/>
        </w:rPr>
        <w:t xml:space="preserve">(в ред. </w:t>
      </w:r>
      <w:hyperlink w:history="0" r:id="rId58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4) содержащиеся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связанных с террористическими организациями и террористами или с распространением оружия массового уничтожения;</w:t>
      </w:r>
    </w:p>
    <w:p>
      <w:pPr>
        <w:pStyle w:val="0"/>
        <w:jc w:val="both"/>
      </w:pPr>
      <w:r>
        <w:rPr>
          <w:sz w:val="20"/>
        </w:rPr>
        <w:t xml:space="preserve">(в ред. </w:t>
      </w:r>
      <w:hyperlink w:history="0" r:id="rId58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содержащиеся в реестре иностранных агентов.</w:t>
      </w:r>
    </w:p>
    <w:p>
      <w:pPr>
        <w:pStyle w:val="0"/>
        <w:jc w:val="both"/>
      </w:pPr>
      <w:r>
        <w:rPr>
          <w:sz w:val="20"/>
        </w:rPr>
        <w:t xml:space="preserve">(в ред. </w:t>
      </w:r>
      <w:hyperlink w:history="0" r:id="rId59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Казачьи общества вправе представить документы, содержащие данные сведения, при подаче заявки в министерство по собственной инициативе.</w:t>
      </w:r>
    </w:p>
    <w:p>
      <w:pPr>
        <w:pStyle w:val="0"/>
        <w:jc w:val="both"/>
      </w:pPr>
      <w:r>
        <w:rPr>
          <w:sz w:val="20"/>
        </w:rPr>
        <w:t xml:space="preserve">(в ред. </w:t>
      </w:r>
      <w:hyperlink w:history="0" r:id="rId59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19.1. Запрещено требовать от казачьего общества представления документов и информации в целях подтверждения соответствия требованиям, установленным </w:t>
      </w:r>
      <w:hyperlink w:history="0" w:anchor="P2010" w:tooltip="11. Казачье общество должно соответствовать следующим требованиям:">
        <w:r>
          <w:rPr>
            <w:sz w:val="20"/>
            <w:color w:val="0000ff"/>
          </w:rPr>
          <w:t xml:space="preserve">пунктом 11</w:t>
        </w:r>
      </w:hyperlink>
      <w:r>
        <w:rPr>
          <w:sz w:val="20"/>
        </w:rPr>
        <w:t xml:space="preserve">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случаев, если казачье общество готово представить указанные документы и информацию в министерство по собственной инициативе.</w:t>
      </w:r>
    </w:p>
    <w:p>
      <w:pPr>
        <w:pStyle w:val="0"/>
        <w:jc w:val="both"/>
      </w:pPr>
      <w:r>
        <w:rPr>
          <w:sz w:val="20"/>
        </w:rPr>
        <w:t xml:space="preserve">(п. 19.1 введен </w:t>
      </w:r>
      <w:hyperlink w:history="0" r:id="rId59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постановлением</w:t>
        </w:r>
      </w:hyperlink>
      <w:r>
        <w:rPr>
          <w:sz w:val="20"/>
        </w:rPr>
        <w:t xml:space="preserve"> Правительства Новосибирской области от 06.02.2025 N 48-п)</w:t>
      </w:r>
    </w:p>
    <w:bookmarkStart w:id="2074" w:name="P2074"/>
    <w:bookmarkEnd w:id="2074"/>
    <w:p>
      <w:pPr>
        <w:pStyle w:val="0"/>
        <w:spacing w:before="200" w:line-rule="auto"/>
        <w:ind w:firstLine="540"/>
        <w:jc w:val="both"/>
      </w:pPr>
      <w:r>
        <w:rPr>
          <w:sz w:val="20"/>
        </w:rPr>
        <w:t xml:space="preserve">20. Основаниями для отклонения заявки на стадии рассмотрения и оценки заявок являются:</w:t>
      </w:r>
    </w:p>
    <w:p>
      <w:pPr>
        <w:pStyle w:val="0"/>
        <w:spacing w:before="200" w:line-rule="auto"/>
        <w:ind w:firstLine="540"/>
        <w:jc w:val="both"/>
      </w:pPr>
      <w:r>
        <w:rPr>
          <w:sz w:val="20"/>
        </w:rPr>
        <w:t xml:space="preserve">1) несоответствие организации требованиям, установленным </w:t>
      </w:r>
      <w:hyperlink w:history="0" w:anchor="P1926" w:tooltip="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Федеральным законом от 05.12.2005 N 154-ФЗ &quot;О государственной службе российского казачества&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
        <w:r>
          <w:rPr>
            <w:sz w:val="20"/>
            <w:color w:val="0000ff"/>
          </w:rPr>
          <w:t xml:space="preserve">пунктами 5</w:t>
        </w:r>
      </w:hyperlink>
      <w:r>
        <w:rPr>
          <w:sz w:val="20"/>
        </w:rPr>
        <w:t xml:space="preserve">, </w:t>
      </w:r>
      <w:hyperlink w:history="0" w:anchor="P2010" w:tooltip="11. Казачье общество должно соответствовать следующим требованиям:">
        <w:r>
          <w:rPr>
            <w:sz w:val="20"/>
            <w:color w:val="0000ff"/>
          </w:rPr>
          <w:t xml:space="preserve">11</w:t>
        </w:r>
      </w:hyperlink>
      <w:r>
        <w:rPr>
          <w:sz w:val="20"/>
        </w:rPr>
        <w:t xml:space="preserve">, </w:t>
      </w:r>
      <w:hyperlink w:history="0" w:anchor="P2021" w:tooltip="12. Субсидии предоставляются казачьим обществам, соответствующим следующим категориям и критериям отбора:">
        <w:r>
          <w:rPr>
            <w:sz w:val="20"/>
            <w:color w:val="0000ff"/>
          </w:rPr>
          <w:t xml:space="preserve">12</w:t>
        </w:r>
      </w:hyperlink>
      <w:r>
        <w:rPr>
          <w:sz w:val="20"/>
        </w:rPr>
        <w:t xml:space="preserve"> Порядка;</w:t>
      </w:r>
    </w:p>
    <w:p>
      <w:pPr>
        <w:pStyle w:val="0"/>
        <w:spacing w:before="200" w:line-rule="auto"/>
        <w:ind w:firstLine="540"/>
        <w:jc w:val="both"/>
      </w:pPr>
      <w:r>
        <w:rPr>
          <w:sz w:val="20"/>
        </w:rPr>
        <w:t xml:space="preserve">2) непредставление (представление не в полном объеме) документов, предусмотренных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пунктом 13</w:t>
        </w:r>
      </w:hyperlink>
      <w:r>
        <w:rPr>
          <w:sz w:val="20"/>
        </w:rPr>
        <w:t xml:space="preserve"> Порядка;</w:t>
      </w:r>
    </w:p>
    <w:p>
      <w:pPr>
        <w:pStyle w:val="0"/>
        <w:spacing w:before="200" w:line-rule="auto"/>
        <w:ind w:firstLine="540"/>
        <w:jc w:val="both"/>
      </w:pPr>
      <w:r>
        <w:rPr>
          <w:sz w:val="20"/>
        </w:rPr>
        <w:t xml:space="preserve">3) несоответствие представленных казачьим обществом заявки и документов требованиям, установленным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пунктами 13</w:t>
        </w:r>
      </w:hyperlink>
      <w:r>
        <w:rPr>
          <w:sz w:val="20"/>
        </w:rPr>
        <w:t xml:space="preserve"> - </w:t>
      </w:r>
      <w:hyperlink w:history="0" w:anchor="P2035"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4) недостоверность информации, содержащейся в документах, представленных казачьим обществом, в целях подтверждения соответствия установленных правовым актом требованиям;</w:t>
      </w:r>
    </w:p>
    <w:p>
      <w:pPr>
        <w:pStyle w:val="0"/>
        <w:spacing w:before="200" w:line-rule="auto"/>
        <w:ind w:firstLine="540"/>
        <w:jc w:val="both"/>
      </w:pPr>
      <w:r>
        <w:rPr>
          <w:sz w:val="20"/>
        </w:rPr>
        <w:t xml:space="preserve">5) подача заявки после даты, определенной для подачи заявок;</w:t>
      </w:r>
    </w:p>
    <w:p>
      <w:pPr>
        <w:pStyle w:val="0"/>
        <w:spacing w:before="200" w:line-rule="auto"/>
        <w:ind w:firstLine="540"/>
        <w:jc w:val="both"/>
      </w:pPr>
      <w:r>
        <w:rPr>
          <w:sz w:val="20"/>
        </w:rPr>
        <w:t xml:space="preserve">6) несоответствие целевого назначения субсидии предмету деятельности казачьего общества, указанному в его учредительных документах.</w:t>
      </w:r>
    </w:p>
    <w:p>
      <w:pPr>
        <w:pStyle w:val="0"/>
        <w:spacing w:before="200" w:line-rule="auto"/>
        <w:ind w:firstLine="540"/>
        <w:jc w:val="both"/>
      </w:pPr>
      <w:r>
        <w:rPr>
          <w:sz w:val="20"/>
        </w:rPr>
        <w:t xml:space="preserve">Абзацы восьмой - девятый утратили силу. - </w:t>
      </w:r>
      <w:hyperlink w:history="0" r:id="rId59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21. Утратил силу. - </w:t>
      </w:r>
      <w:hyperlink w:history="0" r:id="rId59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bookmarkStart w:id="2083" w:name="P2083"/>
    <w:bookmarkEnd w:id="2083"/>
    <w:p>
      <w:pPr>
        <w:pStyle w:val="0"/>
        <w:spacing w:before="200" w:line-rule="auto"/>
        <w:ind w:firstLine="540"/>
        <w:jc w:val="both"/>
      </w:pPr>
      <w:r>
        <w:rPr>
          <w:sz w:val="20"/>
        </w:rPr>
        <w:t xml:space="preserve">22. По результатам рассмотрения и оценки заявок комиссия принимает решение о предоставлении субсидии или об отказе в предоставлении субсидии.</w:t>
      </w:r>
    </w:p>
    <w:p>
      <w:pPr>
        <w:pStyle w:val="0"/>
        <w:spacing w:before="200" w:line-rule="auto"/>
        <w:ind w:firstLine="540"/>
        <w:jc w:val="both"/>
      </w:pPr>
      <w:r>
        <w:rPr>
          <w:sz w:val="20"/>
        </w:rPr>
        <w:t xml:space="preserve">В состав комиссии входят председатель комиссии, заместитель председателя комиссии, секретарь комиссии и члены комиссии. В состав комиссии могут входить представители Законодательного Собрания Новосибирской области, Общественной палаты Новосибирской области, члены общественного совета при министерстве, некоммерческих организаций, деятельность которых направлена на решение социальных проблем, развитие гражданского общества в Новосибирской области.</w:t>
      </w:r>
    </w:p>
    <w:p>
      <w:pPr>
        <w:pStyle w:val="0"/>
        <w:jc w:val="both"/>
      </w:pPr>
      <w:r>
        <w:rPr>
          <w:sz w:val="20"/>
        </w:rPr>
        <w:t xml:space="preserve">(в ред. </w:t>
      </w:r>
      <w:hyperlink w:history="0" r:id="rId59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Число членов комиссии, замещающих государственные должности Новосибирской области, должности государственной гражданской службы, муниципальной службы, муниципальные должности, должно составлять не более одной трети от общего числа членов комиссии.</w:t>
      </w:r>
    </w:p>
    <w:bookmarkStart w:id="2087" w:name="P2087"/>
    <w:bookmarkEnd w:id="2087"/>
    <w:p>
      <w:pPr>
        <w:pStyle w:val="0"/>
        <w:spacing w:before="200" w:line-rule="auto"/>
        <w:ind w:firstLine="540"/>
        <w:jc w:val="both"/>
      </w:pPr>
      <w:r>
        <w:rPr>
          <w:sz w:val="20"/>
        </w:rPr>
        <w:t xml:space="preserve">23. Решение о предоставлении субсидии принимается комиссией в течение 15 рабочих дней, следующих за днем окончания приема заявок в системе "Электронный бюджет", исходя из соответствия организации категории и критериям отбора, указанным в </w:t>
      </w:r>
      <w:hyperlink w:history="0" w:anchor="P1926" w:tooltip="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Федеральным законом от 05.12.2005 N 154-ФЗ &quot;О государственной службе российского казачества&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
        <w:r>
          <w:rPr>
            <w:sz w:val="20"/>
            <w:color w:val="0000ff"/>
          </w:rPr>
          <w:t xml:space="preserve">пунктах 5</w:t>
        </w:r>
      </w:hyperlink>
      <w:r>
        <w:rPr>
          <w:sz w:val="20"/>
        </w:rPr>
        <w:t xml:space="preserve">, </w:t>
      </w:r>
      <w:hyperlink w:history="0" w:anchor="P2021" w:tooltip="12. Субсидии предоставляются казачьим обществам, соответствующим следующим категориям и критериям отбора:">
        <w:r>
          <w:rPr>
            <w:sz w:val="20"/>
            <w:color w:val="0000ff"/>
          </w:rPr>
          <w:t xml:space="preserve">12</w:t>
        </w:r>
      </w:hyperlink>
      <w:r>
        <w:rPr>
          <w:sz w:val="20"/>
        </w:rPr>
        <w:t xml:space="preserve"> Порядка, и требованиям, указанным в </w:t>
      </w:r>
      <w:hyperlink w:history="0" w:anchor="P2010" w:tooltip="11. Казачье общество должно соответствовать следующим требованиям:">
        <w:r>
          <w:rPr>
            <w:sz w:val="20"/>
            <w:color w:val="0000ff"/>
          </w:rPr>
          <w:t xml:space="preserve">пунктах 11</w:t>
        </w:r>
      </w:hyperlink>
      <w:r>
        <w:rPr>
          <w:sz w:val="20"/>
        </w:rPr>
        <w:t xml:space="preserve">,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2035"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jc w:val="both"/>
      </w:pPr>
      <w:r>
        <w:rPr>
          <w:sz w:val="20"/>
        </w:rPr>
        <w:t xml:space="preserve">(в ред. </w:t>
      </w:r>
      <w:hyperlink w:history="0" r:id="rId59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 случае если заявленный казачьими обществами совокупный объем субсидий превышает объем бюджетных ассигнований по предоставлению субсидии, установленный министерству на текущий финансовый год, то решение о предоставлении субсидии принимается в соответствии с очередностью поступления заявок.</w:t>
      </w:r>
    </w:p>
    <w:p>
      <w:pPr>
        <w:pStyle w:val="0"/>
        <w:spacing w:before="200" w:line-rule="auto"/>
        <w:ind w:firstLine="540"/>
        <w:jc w:val="both"/>
      </w:pPr>
      <w:r>
        <w:rPr>
          <w:sz w:val="20"/>
        </w:rPr>
        <w:t xml:space="preserve">В целях определения победителей отбора в срок, установленный </w:t>
      </w:r>
      <w:hyperlink w:history="0" w:anchor="P2087" w:tooltip="23. Решение о предоставлении субсидии принимается комиссией в течение 15 рабочих дней, следующих за днем окончания приема заявок в системе &quot;Электронный бюджет&quot;, исходя из соответствия организации категории и критериям отбора, указанным в пунктах 5, 12 Порядка, и требованиям, указанным в пунктах 11, 13 - 15 Порядка.">
        <w:r>
          <w:rPr>
            <w:sz w:val="20"/>
            <w:color w:val="0000ff"/>
          </w:rPr>
          <w:t xml:space="preserve">абзацем первым</w:t>
        </w:r>
      </w:hyperlink>
      <w:r>
        <w:rPr>
          <w:sz w:val="20"/>
        </w:rPr>
        <w:t xml:space="preserve"> настоящего пункта, формируется протокол подведения итогов отбора и включает следующие сведения:</w:t>
      </w:r>
    </w:p>
    <w:p>
      <w:pPr>
        <w:pStyle w:val="0"/>
        <w:jc w:val="both"/>
      </w:pPr>
      <w:r>
        <w:rPr>
          <w:sz w:val="20"/>
        </w:rPr>
        <w:t xml:space="preserve">(в ред. </w:t>
      </w:r>
      <w:hyperlink w:history="0" r:id="rId59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1) дату, время и место проведения рассмотрения заявок;</w:t>
      </w:r>
    </w:p>
    <w:p>
      <w:pPr>
        <w:pStyle w:val="0"/>
        <w:spacing w:before="200" w:line-rule="auto"/>
        <w:ind w:firstLine="540"/>
        <w:jc w:val="both"/>
      </w:pPr>
      <w:r>
        <w:rPr>
          <w:sz w:val="20"/>
        </w:rPr>
        <w:t xml:space="preserve">2) информацию об организациях, заявки которых были рассмотрены;</w:t>
      </w:r>
    </w:p>
    <w:p>
      <w:pPr>
        <w:pStyle w:val="0"/>
        <w:spacing w:before="200" w:line-rule="auto"/>
        <w:ind w:firstLine="540"/>
        <w:jc w:val="both"/>
      </w:pPr>
      <w:r>
        <w:rPr>
          <w:sz w:val="20"/>
        </w:rPr>
        <w:t xml:space="preserve">3) информацию о казачьих обществах, заявки которых были отклонены, с указанием причин их отклонения, в том числе положений объявления о проведении отбора, которым не соответствуют такие заявки;</w:t>
      </w:r>
    </w:p>
    <w:p>
      <w:pPr>
        <w:pStyle w:val="0"/>
        <w:spacing w:before="200" w:line-rule="auto"/>
        <w:ind w:firstLine="540"/>
        <w:jc w:val="both"/>
      </w:pPr>
      <w:r>
        <w:rPr>
          <w:sz w:val="20"/>
        </w:rPr>
        <w:t xml:space="preserve">4) наименование казачьих обществ - победителей отбора (получателей субсидий), с которыми заключается соглашение, их ОГРН, идентификационный номер налогоплательщика, и размер предоставляемой им субсидии;</w:t>
      </w:r>
    </w:p>
    <w:p>
      <w:pPr>
        <w:pStyle w:val="0"/>
        <w:jc w:val="both"/>
      </w:pPr>
      <w:r>
        <w:rPr>
          <w:sz w:val="20"/>
        </w:rPr>
        <w:t xml:space="preserve">(в ред. </w:t>
      </w:r>
      <w:hyperlink w:history="0" r:id="rId59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5) информацию об участниках заседания комиссии, о результатах голосования (в том числе о лицах, голосовавших против принятия решения), об особом мнении участников заседания комиссии, которое они внесли в протокол).</w:t>
      </w:r>
    </w:p>
    <w:p>
      <w:pPr>
        <w:pStyle w:val="0"/>
        <w:jc w:val="both"/>
      </w:pPr>
      <w:r>
        <w:rPr>
          <w:sz w:val="20"/>
        </w:rPr>
        <w:t xml:space="preserve">(в ред. </w:t>
      </w:r>
      <w:hyperlink w:history="0" r:id="rId59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Протокол подведения итогов отбора автоматически формируется на едином портале на основании результатов определения победителей отбора, подписывается усиленной квалифицированной электронной подписью председателя и членов комиссии в системе "Электронный бюджет", а также размещается на едином портале не позднее одного рабочего дня, следующего за днем его подписания. Одновременно протокол размещается министерством на его официальном сайте в сети "Интернет".</w:t>
      </w:r>
    </w:p>
    <w:p>
      <w:pPr>
        <w:pStyle w:val="0"/>
        <w:jc w:val="both"/>
      </w:pPr>
      <w:r>
        <w:rPr>
          <w:sz w:val="20"/>
        </w:rPr>
        <w:t xml:space="preserve">(в ред. </w:t>
      </w:r>
      <w:hyperlink w:history="0" r:id="rId60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Внесение изменений в протокол подведения итогов отбора осуществляется не позднее 10 календарных дней со дня подписания первой версии протокола подведения итогов отбора путем формирования новой версии указанного протокола с указанием причин внесения изменений.</w:t>
      </w:r>
    </w:p>
    <w:p>
      <w:pPr>
        <w:pStyle w:val="0"/>
        <w:jc w:val="both"/>
      </w:pPr>
      <w:r>
        <w:rPr>
          <w:sz w:val="20"/>
        </w:rPr>
        <w:t xml:space="preserve">(в ред. </w:t>
      </w:r>
      <w:hyperlink w:history="0" r:id="rId60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2103" w:name="P2103"/>
    <w:bookmarkEnd w:id="2103"/>
    <w:p>
      <w:pPr>
        <w:pStyle w:val="0"/>
        <w:spacing w:before="200" w:line-rule="auto"/>
        <w:ind w:firstLine="540"/>
        <w:jc w:val="both"/>
      </w:pPr>
      <w:r>
        <w:rPr>
          <w:sz w:val="20"/>
        </w:rPr>
        <w:t xml:space="preserve">24. В течение пяти рабочих дней со дня размещения на едином портале протокола подведения итогов министерство издает приказ о результатах отбора с указанием казачьих обществ - победителей отбора и размера предоставляемых им субсидий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w:t>
      </w:r>
    </w:p>
    <w:p>
      <w:pPr>
        <w:pStyle w:val="0"/>
        <w:jc w:val="both"/>
      </w:pPr>
      <w:r>
        <w:rPr>
          <w:sz w:val="20"/>
        </w:rPr>
        <w:t xml:space="preserve">(в ред. </w:t>
      </w:r>
      <w:hyperlink w:history="0" r:id="rId60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25. Отбор признается несостоявшимся в следующих случаях:</w:t>
      </w:r>
    </w:p>
    <w:p>
      <w:pPr>
        <w:pStyle w:val="0"/>
        <w:spacing w:before="200" w:line-rule="auto"/>
        <w:ind w:firstLine="540"/>
        <w:jc w:val="both"/>
      </w:pPr>
      <w:r>
        <w:rPr>
          <w:sz w:val="20"/>
        </w:rPr>
        <w:t xml:space="preserve">1) по окончании срока подачи заявок не подано ни одной заявки;</w:t>
      </w:r>
    </w:p>
    <w:p>
      <w:pPr>
        <w:pStyle w:val="0"/>
        <w:spacing w:before="200" w:line-rule="auto"/>
        <w:ind w:firstLine="540"/>
        <w:jc w:val="both"/>
      </w:pPr>
      <w:r>
        <w:rPr>
          <w:sz w:val="20"/>
        </w:rPr>
        <w:t xml:space="preserve">2) по результатам рассмотрения заявок отклонены все заявки.</w:t>
      </w:r>
    </w:p>
    <w:p>
      <w:pPr>
        <w:pStyle w:val="0"/>
        <w:spacing w:before="200" w:line-rule="auto"/>
        <w:ind w:firstLine="540"/>
        <w:jc w:val="both"/>
      </w:pPr>
      <w:r>
        <w:rPr>
          <w:sz w:val="20"/>
        </w:rPr>
        <w:t xml:space="preserve">В течение пяти рабочих дней со дня окончания срока подачи заявок в случае отсутствия поданных заявок либо в течение 15 рабочих дней со дня окончания срока приема заявок в случае отклонения всех заявок министерство издает приказ о признании отбора несостоявшимся и размещает его на информационных ресурсах об оказании финансовой поддержки социально ориентированным некоммерческим организациям, а также на официальном сайте министерства в сети "Интернет" вместе с объявлением о признании отбора несостоявшимся.</w:t>
      </w:r>
    </w:p>
    <w:p>
      <w:pPr>
        <w:pStyle w:val="0"/>
        <w:jc w:val="both"/>
      </w:pPr>
      <w:r>
        <w:rPr>
          <w:sz w:val="20"/>
        </w:rPr>
        <w:t xml:space="preserve">(в ред. </w:t>
      </w:r>
      <w:hyperlink w:history="0" r:id="rId60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Абзац утратил силу. - </w:t>
      </w:r>
      <w:hyperlink w:history="0" r:id="rId60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Постановление</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Условия и порядок предоставления субсидий</w:t>
      </w:r>
    </w:p>
    <w:p>
      <w:pPr>
        <w:pStyle w:val="0"/>
        <w:ind w:firstLine="540"/>
        <w:jc w:val="both"/>
      </w:pPr>
      <w:r>
        <w:rPr>
          <w:sz w:val="20"/>
        </w:rPr>
      </w:r>
    </w:p>
    <w:p>
      <w:pPr>
        <w:pStyle w:val="0"/>
        <w:ind w:firstLine="540"/>
        <w:jc w:val="both"/>
      </w:pPr>
      <w:r>
        <w:rPr>
          <w:sz w:val="20"/>
        </w:rPr>
        <w:t xml:space="preserve">26. Условием предоставления субсидии является соответствие получателя субсидии категориям и критериям, указанным в </w:t>
      </w:r>
      <w:hyperlink w:history="0" w:anchor="P1926" w:tooltip="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Федеральным законом от 05.12.2005 N 154-ФЗ &quot;О государственной службе российского казачества&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
        <w:r>
          <w:rPr>
            <w:sz w:val="20"/>
            <w:color w:val="0000ff"/>
          </w:rPr>
          <w:t xml:space="preserve">пунктах 5</w:t>
        </w:r>
      </w:hyperlink>
      <w:r>
        <w:rPr>
          <w:sz w:val="20"/>
        </w:rPr>
        <w:t xml:space="preserve">, </w:t>
      </w:r>
      <w:hyperlink w:history="0" w:anchor="P2021" w:tooltip="12. Субсидии предоставляются казачьим обществам, соответствующим следующим категориям и критериям отбора:">
        <w:r>
          <w:rPr>
            <w:sz w:val="20"/>
            <w:color w:val="0000ff"/>
          </w:rPr>
          <w:t xml:space="preserve">12</w:t>
        </w:r>
      </w:hyperlink>
      <w:r>
        <w:rPr>
          <w:sz w:val="20"/>
        </w:rPr>
        <w:t xml:space="preserve"> Порядка, и требованиям, указанным в </w:t>
      </w:r>
      <w:hyperlink w:history="0" w:anchor="P2010" w:tooltip="11. Казачье общество должно соответствовать следующим требованиям:">
        <w:r>
          <w:rPr>
            <w:sz w:val="20"/>
            <w:color w:val="0000ff"/>
          </w:rPr>
          <w:t xml:space="preserve">пунктах 11</w:t>
        </w:r>
      </w:hyperlink>
      <w:r>
        <w:rPr>
          <w:sz w:val="20"/>
        </w:rPr>
        <w:t xml:space="preserve">,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2035"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w:t>
      </w:r>
    </w:p>
    <w:p>
      <w:pPr>
        <w:pStyle w:val="0"/>
        <w:spacing w:before="200" w:line-rule="auto"/>
        <w:ind w:firstLine="540"/>
        <w:jc w:val="both"/>
      </w:pPr>
      <w:r>
        <w:rPr>
          <w:sz w:val="20"/>
        </w:rPr>
        <w:t xml:space="preserve">27. Министерство отказывает получателю субсидии в предоставлении субсидии по следующим основаниям:</w:t>
      </w:r>
    </w:p>
    <w:p>
      <w:pPr>
        <w:pStyle w:val="0"/>
        <w:spacing w:before="200" w:line-rule="auto"/>
        <w:ind w:firstLine="540"/>
        <w:jc w:val="both"/>
      </w:pPr>
      <w:r>
        <w:rPr>
          <w:sz w:val="20"/>
        </w:rPr>
        <w:t xml:space="preserve">1) несоответствие представленных получателем субсидии документов категориям и критериям отбора, указанным в </w:t>
      </w:r>
      <w:hyperlink w:history="0" w:anchor="P1926" w:tooltip="5. К категории отбора относятся казачьи общества, зарегистрированные в установленном порядке на территории Новосибирской области и осуществляющие уставную деятельность в соответствии с Федеральным законом от 12.01.1996 N 7-ФЗ &quot;О некоммерческих организациях&quot;, Федеральным законом от 05.12.2005 N 154-ФЗ &quot;О государственной службе российского казачества&quot; и Законом Новосибирской области от 07.11.2011 N 139-ОЗ &quot;О государственной поддержке социально ориентированных некоммерческих организаций в Новосибирской обла...">
        <w:r>
          <w:rPr>
            <w:sz w:val="20"/>
            <w:color w:val="0000ff"/>
          </w:rPr>
          <w:t xml:space="preserve">пунктах 5</w:t>
        </w:r>
      </w:hyperlink>
      <w:r>
        <w:rPr>
          <w:sz w:val="20"/>
        </w:rPr>
        <w:t xml:space="preserve">, </w:t>
      </w:r>
      <w:hyperlink w:history="0" w:anchor="P2021" w:tooltip="12. Субсидии предоставляются казачьим обществам, соответствующим следующим категориям и критериям отбора:">
        <w:r>
          <w:rPr>
            <w:sz w:val="20"/>
            <w:color w:val="0000ff"/>
          </w:rPr>
          <w:t xml:space="preserve">12</w:t>
        </w:r>
      </w:hyperlink>
      <w:r>
        <w:rPr>
          <w:sz w:val="20"/>
        </w:rPr>
        <w:t xml:space="preserve">, и требованиям, указанным в </w:t>
      </w:r>
      <w:hyperlink w:history="0" w:anchor="P2010" w:tooltip="11. Казачье общество должно соответствовать следующим требованиям:">
        <w:r>
          <w:rPr>
            <w:sz w:val="20"/>
            <w:color w:val="0000ff"/>
          </w:rPr>
          <w:t xml:space="preserve">пунктах 11</w:t>
        </w:r>
      </w:hyperlink>
      <w:r>
        <w:rPr>
          <w:sz w:val="20"/>
        </w:rPr>
        <w:t xml:space="preserve">, </w:t>
      </w:r>
      <w:hyperlink w:history="0" w:anchor="P2024" w:tooltip="13. Заявка формируется казачьими обществами в электронной форме посредством заполнения соответствующих экранных форм веб-интерфейса системы &quot;Электронный бюджет&quot; и представления в систему &quot;Электронный бюджет&quot;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 получателей субсидий, а именно:">
        <w:r>
          <w:rPr>
            <w:sz w:val="20"/>
            <w:color w:val="0000ff"/>
          </w:rPr>
          <w:t xml:space="preserve">13</w:t>
        </w:r>
      </w:hyperlink>
      <w:r>
        <w:rPr>
          <w:sz w:val="20"/>
        </w:rPr>
        <w:t xml:space="preserve"> - </w:t>
      </w:r>
      <w:hyperlink w:history="0" w:anchor="P2035" w:tooltip="15. Заявка и документы, указанные в пункте 13 Порядка, должны соответствовать следующим требованиям:">
        <w:r>
          <w:rPr>
            <w:sz w:val="20"/>
            <w:color w:val="0000ff"/>
          </w:rPr>
          <w:t xml:space="preserve">15</w:t>
        </w:r>
      </w:hyperlink>
      <w:r>
        <w:rPr>
          <w:sz w:val="20"/>
        </w:rPr>
        <w:t xml:space="preserve"> Порядка, или непредставление (представление не в полном объеме) указанных документов;</w:t>
      </w:r>
    </w:p>
    <w:p>
      <w:pPr>
        <w:pStyle w:val="0"/>
        <w:spacing w:before="200" w:line-rule="auto"/>
        <w:ind w:firstLine="540"/>
        <w:jc w:val="both"/>
      </w:pPr>
      <w:r>
        <w:rPr>
          <w:sz w:val="20"/>
        </w:rPr>
        <w:t xml:space="preserve">2) установление факта недостоверности представленной получателем субсидии информации.</w:t>
      </w:r>
    </w:p>
    <w:p>
      <w:pPr>
        <w:pStyle w:val="0"/>
        <w:spacing w:before="200" w:line-rule="auto"/>
        <w:ind w:firstLine="540"/>
        <w:jc w:val="both"/>
      </w:pPr>
      <w:r>
        <w:rPr>
          <w:sz w:val="20"/>
        </w:rPr>
        <w:t xml:space="preserve">При наличии оснований для отказа в предоставлении субсидии, указанных в настоящем пункте, министерство в течение десяти рабочих дней с момента выявления оснований для отказа направляет казачьему обществу письменное уведомление об отказе в предоставлении субсидии с указанием причин такого отказа по адресу, указанному в заявке.</w:t>
      </w:r>
    </w:p>
    <w:bookmarkStart w:id="2119" w:name="P2119"/>
    <w:bookmarkEnd w:id="2119"/>
    <w:p>
      <w:pPr>
        <w:pStyle w:val="0"/>
        <w:spacing w:before="200" w:line-rule="auto"/>
        <w:ind w:firstLine="540"/>
        <w:jc w:val="both"/>
      </w:pPr>
      <w:r>
        <w:rPr>
          <w:sz w:val="20"/>
        </w:rPr>
        <w:t xml:space="preserve">28. Размер субсидии определяется в соответствии с запрашиваемым размером субсидии, указанным в заявке казачьего общества, но не более максимального размера субсидии, установленного в объявлении о проведении отбора.</w:t>
      </w:r>
    </w:p>
    <w:p>
      <w:pPr>
        <w:pStyle w:val="0"/>
        <w:spacing w:before="200" w:line-rule="auto"/>
        <w:ind w:firstLine="540"/>
        <w:jc w:val="both"/>
      </w:pPr>
      <w:r>
        <w:rPr>
          <w:sz w:val="20"/>
        </w:rPr>
        <w:t xml:space="preserve">29. Министерство в течение 30 рабочих дней со дня размещения на едином портале протокола подведения итогов отбора обеспечивает размещение проекта соглашения в системе "Электронный бюджет".</w:t>
      </w:r>
    </w:p>
    <w:p>
      <w:pPr>
        <w:pStyle w:val="0"/>
        <w:jc w:val="both"/>
      </w:pPr>
      <w:r>
        <w:rPr>
          <w:sz w:val="20"/>
        </w:rPr>
        <w:t xml:space="preserve">(п. 29 в ред. </w:t>
      </w:r>
      <w:hyperlink w:history="0" r:id="rId60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30. В случае невозможности предоставления субсидии в текущем финансовом году в связи с недостаточностью лимитов бюджетных обязательств министерство согласует с получателем субсидии новые условия исполнения соглашения (уточнение финансового обеспечения предоставления субсидии в счет лимитов бюджетных обязательств очередного финансового года и уточнение сроков исполнения соглашения или расторжение заключенного соглашения).</w:t>
      </w:r>
    </w:p>
    <w:p>
      <w:pPr>
        <w:pStyle w:val="0"/>
        <w:spacing w:before="200" w:line-rule="auto"/>
        <w:ind w:firstLine="540"/>
        <w:jc w:val="both"/>
      </w:pPr>
      <w:r>
        <w:rPr>
          <w:sz w:val="20"/>
        </w:rPr>
        <w:t xml:space="preserve">31. Казачье общество - победитель отбора обеспечивает подписание проекта соглашения в системе "Электронный бюджет" в течение 10 рабочих дней со дня его размещения министерством. В случае отказа от подписания соглашения в течение указанного срока казачье общество считается уклонившимся от заключения соглашения.</w:t>
      </w:r>
    </w:p>
    <w:p>
      <w:pPr>
        <w:pStyle w:val="0"/>
        <w:jc w:val="both"/>
      </w:pPr>
      <w:r>
        <w:rPr>
          <w:sz w:val="20"/>
        </w:rPr>
        <w:t xml:space="preserve">(п. 31 в ред. </w:t>
      </w:r>
      <w:hyperlink w:history="0" r:id="rId60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32. Соглашение, дополнительное соглашение о внесении изменений, а также дополнительное соглашение о расторжении соглашения (при необходимости) подготавливаются (формируются) и заключаются в системе "Электронный бюджет" в соответствии с типовой формой, установленной министерством финансов и налоговой политики Новосибирской области.</w:t>
      </w:r>
    </w:p>
    <w:p>
      <w:pPr>
        <w:pStyle w:val="0"/>
        <w:spacing w:before="200" w:line-rule="auto"/>
        <w:ind w:firstLine="540"/>
        <w:jc w:val="both"/>
      </w:pPr>
      <w:r>
        <w:rPr>
          <w:sz w:val="20"/>
        </w:rPr>
        <w:t xml:space="preserve">33. В соглашении указываются:</w:t>
      </w:r>
    </w:p>
    <w:p>
      <w:pPr>
        <w:pStyle w:val="0"/>
        <w:spacing w:before="200" w:line-rule="auto"/>
        <w:ind w:firstLine="540"/>
        <w:jc w:val="both"/>
      </w:pPr>
      <w:r>
        <w:rPr>
          <w:sz w:val="20"/>
        </w:rPr>
        <w:t xml:space="preserve">1) результаты предоставления субсидии, их характеристики (показатели, необходимые для достижения результата предоставления субсидии) в соответствии с </w:t>
      </w:r>
      <w:hyperlink w:history="0" w:anchor="P2138" w:tooltip="37. Результатом предоставления субсидии являются реализованные мероприятия по осуществлению уставной деятельности в соответствии с пунктом 4 Порядка.">
        <w:r>
          <w:rPr>
            <w:sz w:val="20"/>
            <w:color w:val="0000ff"/>
          </w:rPr>
          <w:t xml:space="preserve">пунктом 37</w:t>
        </w:r>
      </w:hyperlink>
      <w:r>
        <w:rPr>
          <w:sz w:val="20"/>
        </w:rPr>
        <w:t xml:space="preserve"> Порядка;</w:t>
      </w:r>
    </w:p>
    <w:p>
      <w:pPr>
        <w:pStyle w:val="0"/>
        <w:jc w:val="both"/>
      </w:pPr>
      <w:r>
        <w:rPr>
          <w:sz w:val="20"/>
        </w:rPr>
        <w:t xml:space="preserve">(в ред. </w:t>
      </w:r>
      <w:hyperlink w:history="0" r:id="rId60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2) сроки (периодичность) перечисления субсидии в соответствии с бюджетным законодательством Российской Федерации;</w:t>
      </w:r>
    </w:p>
    <w:bookmarkStart w:id="2130" w:name="P2130"/>
    <w:bookmarkEnd w:id="2130"/>
    <w:p>
      <w:pPr>
        <w:pStyle w:val="0"/>
        <w:spacing w:before="200" w:line-rule="auto"/>
        <w:ind w:firstLine="540"/>
        <w:jc w:val="both"/>
      </w:pPr>
      <w:r>
        <w:rPr>
          <w:sz w:val="20"/>
        </w:rPr>
        <w:t xml:space="preserve">3) счет (счета), на который (которые) перечисляется субсидия, с учетом положений, установленных бюджетным законодательством Российской Федерации;</w:t>
      </w:r>
    </w:p>
    <w:p>
      <w:pPr>
        <w:pStyle w:val="0"/>
        <w:spacing w:before="200" w:line-rule="auto"/>
        <w:ind w:firstLine="540"/>
        <w:jc w:val="both"/>
      </w:pPr>
      <w:r>
        <w:rPr>
          <w:sz w:val="20"/>
        </w:rPr>
        <w:t xml:space="preserve">4) условие о согласии казачьего общества и лиц, являющихся поставщиками (подрядчиками, исполнителями) по договорам (соглашениям), заключенным в целях исполнения обязательств по соглашению о предоставлении субсидий на финансовое обеспечение затрат организации, на осуществление министерством в отношении их проверки соблюдения порядка и условий предоставления субсидии, в том числе в части достижения результатов предоставления субсидии, а также проверки органом государственного финансового контроля соблюдения организацией порядка и условий предоставления субсидии в соответствии со </w:t>
      </w:r>
      <w:hyperlink w:history="0" r:id="rId608"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609"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5) запрет приобретения за счет средств, предоставленных на финансовое обеспечение затрат казачьего общества,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Порядком;</w:t>
      </w:r>
    </w:p>
    <w:p>
      <w:pPr>
        <w:pStyle w:val="0"/>
        <w:spacing w:before="200" w:line-rule="auto"/>
        <w:ind w:firstLine="540"/>
        <w:jc w:val="both"/>
      </w:pPr>
      <w:r>
        <w:rPr>
          <w:sz w:val="20"/>
        </w:rPr>
        <w:t xml:space="preserve">6)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pPr>
        <w:pStyle w:val="0"/>
        <w:spacing w:before="200" w:line-rule="auto"/>
        <w:ind w:firstLine="540"/>
        <w:jc w:val="both"/>
      </w:pPr>
      <w:r>
        <w:rPr>
          <w:sz w:val="20"/>
        </w:rPr>
        <w:t xml:space="preserve">34. После заключения соглашения министерство в течение 20 рабочих дней перечисляет субсидию на счет (счета) казачьего общества, указанный (указанные) в соглашении в соответствии с </w:t>
      </w:r>
      <w:hyperlink w:history="0" w:anchor="P2130" w:tooltip="3) счет (счета), на который (которые) перечисляется субсидия, с учетом положений, установленных бюджетным законодательством Российской Федерации;">
        <w:r>
          <w:rPr>
            <w:sz w:val="20"/>
            <w:color w:val="0000ff"/>
          </w:rPr>
          <w:t xml:space="preserve">подпунктом 3 пункта 33</w:t>
        </w:r>
      </w:hyperlink>
      <w:r>
        <w:rPr>
          <w:sz w:val="20"/>
        </w:rPr>
        <w:t xml:space="preserve"> Порядка.</w:t>
      </w:r>
    </w:p>
    <w:p>
      <w:pPr>
        <w:pStyle w:val="0"/>
        <w:spacing w:before="200" w:line-rule="auto"/>
        <w:ind w:firstLine="540"/>
        <w:jc w:val="both"/>
      </w:pPr>
      <w:r>
        <w:rPr>
          <w:sz w:val="20"/>
        </w:rPr>
        <w:t xml:space="preserve">35. Субсидия предоставляется на основании подписанного казачьим обществом и министерством соглашения в пределах лимитов бюджетных обязательств, установленных министерству на текущий финансовый год в соответствии со сводной бюджетной росписью и кассовым планом областного бюджета.</w:t>
      </w:r>
    </w:p>
    <w:p>
      <w:pPr>
        <w:pStyle w:val="0"/>
        <w:spacing w:before="200" w:line-rule="auto"/>
        <w:ind w:firstLine="540"/>
        <w:jc w:val="both"/>
      </w:pPr>
      <w:r>
        <w:rPr>
          <w:sz w:val="20"/>
        </w:rPr>
        <w:t xml:space="preserve">36. Предоставленные субсидии должны быть использованы в сроки, предусмотренные соглашениями.</w:t>
      </w:r>
    </w:p>
    <w:p>
      <w:pPr>
        <w:pStyle w:val="0"/>
        <w:spacing w:before="200" w:line-rule="auto"/>
        <w:ind w:firstLine="540"/>
        <w:jc w:val="both"/>
      </w:pPr>
      <w:r>
        <w:rPr>
          <w:sz w:val="20"/>
        </w:rPr>
        <w:t xml:space="preserve">Сроки использования субсидий не ограничиваются финансовым годом, в котором предоставлены эти субсидии.</w:t>
      </w:r>
    </w:p>
    <w:bookmarkStart w:id="2138" w:name="P2138"/>
    <w:bookmarkEnd w:id="2138"/>
    <w:p>
      <w:pPr>
        <w:pStyle w:val="0"/>
        <w:spacing w:before="200" w:line-rule="auto"/>
        <w:ind w:firstLine="540"/>
        <w:jc w:val="both"/>
      </w:pPr>
      <w:r>
        <w:rPr>
          <w:sz w:val="20"/>
        </w:rPr>
        <w:t xml:space="preserve">37. Результатом предоставления субсидии являются реализованные мероприятия по осуществлению уставной деятельности в соответствии с </w:t>
      </w:r>
      <w:hyperlink w:history="0" w:anchor="P1924" w:tooltip="4. Субсидии предоставляются министерством в целях финансового обеспечения затрат на реализацию уставной деятельности казачьих обществ по проведению мероприятий, направленных на сохранение и развитие самобытной казачьей культуры, организацию работы с казачьей молодежью, ее духовно-нравственному, военно-патриотическому и физическому воспитанию, в том числе по участию в региональных, федеральных и международных мероприятиях в сфере развития российского казачества.">
        <w:r>
          <w:rPr>
            <w:sz w:val="20"/>
            <w:color w:val="0000ff"/>
          </w:rPr>
          <w:t xml:space="preserve">пунктом 4</w:t>
        </w:r>
      </w:hyperlink>
      <w:r>
        <w:rPr>
          <w:sz w:val="20"/>
        </w:rPr>
        <w:t xml:space="preserve"> Порядка.</w:t>
      </w:r>
    </w:p>
    <w:p>
      <w:pPr>
        <w:pStyle w:val="0"/>
        <w:spacing w:before="200" w:line-rule="auto"/>
        <w:ind w:firstLine="540"/>
        <w:jc w:val="both"/>
      </w:pPr>
      <w:r>
        <w:rPr>
          <w:sz w:val="20"/>
        </w:rPr>
        <w:t xml:space="preserve">Характеристикой результата предоставления субсидии (показателем, необходимым для достижения результата предоставления субсидии) (далее - характеристика результата предоставления субсидии) является количество участников мероприятий, проводимых при участии казачества Новосибирской области и направленных на сохранение и развитие самобытной казачьей культуры и воспитание подрастающего поколения.</w:t>
      </w:r>
    </w:p>
    <w:p>
      <w:pPr>
        <w:pStyle w:val="0"/>
        <w:spacing w:before="200" w:line-rule="auto"/>
        <w:ind w:firstLine="540"/>
        <w:jc w:val="both"/>
      </w:pPr>
      <w:r>
        <w:rPr>
          <w:sz w:val="20"/>
        </w:rPr>
        <w:t xml:space="preserve">Характеристика результата предоставления субсидии устанавливается министерством в соглашении исходя из показателя, указанного в заявке казачьего общества - победителя конкурса.</w:t>
      </w:r>
    </w:p>
    <w:p>
      <w:pPr>
        <w:pStyle w:val="0"/>
        <w:jc w:val="both"/>
      </w:pPr>
      <w:r>
        <w:rPr>
          <w:sz w:val="20"/>
        </w:rPr>
        <w:t xml:space="preserve">(п. 37 в ред. </w:t>
      </w:r>
      <w:hyperlink w:history="0" r:id="rId61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Требования к отчетности</w:t>
      </w:r>
    </w:p>
    <w:p>
      <w:pPr>
        <w:pStyle w:val="0"/>
        <w:ind w:firstLine="540"/>
        <w:jc w:val="both"/>
      </w:pPr>
      <w:r>
        <w:rPr>
          <w:sz w:val="20"/>
        </w:rPr>
      </w:r>
    </w:p>
    <w:p>
      <w:pPr>
        <w:pStyle w:val="0"/>
        <w:ind w:firstLine="540"/>
        <w:jc w:val="both"/>
      </w:pPr>
      <w:r>
        <w:rPr>
          <w:sz w:val="20"/>
        </w:rPr>
        <w:t xml:space="preserve">38. Отчет о достижении значений результатов предоставления субсидии и характеристик результата предоставления субсидии, отчет об осуществлении расходов, источником которых является субсидия, отчет о реализации плана мероприятий по достижению результатов предоставления субсидии и характеристик результата предоставления субсидии (контрольных точек) (далее - отчет) представляются в министерство казачьим обществом не реже одного раза в квартал по формам, определенным типовыми формами соглашений, установленным министерством финансов и налоговой политики Новосибирской области.</w:t>
      </w:r>
    </w:p>
    <w:p>
      <w:pPr>
        <w:pStyle w:val="0"/>
        <w:jc w:val="both"/>
      </w:pPr>
      <w:r>
        <w:rPr>
          <w:sz w:val="20"/>
        </w:rPr>
        <w:t xml:space="preserve">(в ред. </w:t>
      </w:r>
      <w:hyperlink w:history="0" r:id="rId61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вправе устанавливать в соглашении сроки и формы представления получателем субсидии дополнительной отчетности.</w:t>
      </w:r>
    </w:p>
    <w:p>
      <w:pPr>
        <w:pStyle w:val="0"/>
        <w:spacing w:before="200" w:line-rule="auto"/>
        <w:ind w:firstLine="540"/>
        <w:jc w:val="both"/>
      </w:pPr>
      <w:r>
        <w:rPr>
          <w:sz w:val="20"/>
        </w:rPr>
        <w:t xml:space="preserve">39. Министерство осуществляет проверку отчетов в течение 60 рабочих дней со дня их поступления по результатам которой:</w:t>
      </w:r>
    </w:p>
    <w:p>
      <w:pPr>
        <w:pStyle w:val="0"/>
        <w:spacing w:before="200" w:line-rule="auto"/>
        <w:ind w:firstLine="540"/>
        <w:jc w:val="both"/>
      </w:pPr>
      <w:r>
        <w:rPr>
          <w:sz w:val="20"/>
        </w:rPr>
        <w:t xml:space="preserve">1) принимает отчет;</w:t>
      </w:r>
    </w:p>
    <w:p>
      <w:pPr>
        <w:pStyle w:val="0"/>
        <w:spacing w:before="200" w:line-rule="auto"/>
        <w:ind w:firstLine="540"/>
        <w:jc w:val="both"/>
      </w:pPr>
      <w:r>
        <w:rPr>
          <w:sz w:val="20"/>
        </w:rPr>
        <w:t xml:space="preserve">2) возвращает отчет получателю субсидии на доработку при наличии замечаний. Получатель субсидии дорабатывает отчет в течение десяти рабочих дней со дня его получения и представляет в министерство доработанный отчет для проведения повторной проверки.</w:t>
      </w:r>
    </w:p>
    <w:p>
      <w:pPr>
        <w:pStyle w:val="0"/>
        <w:jc w:val="both"/>
      </w:pPr>
      <w:r>
        <w:rPr>
          <w:sz w:val="20"/>
        </w:rPr>
        <w:t xml:space="preserve">(в ред. </w:t>
      </w:r>
      <w:hyperlink w:history="0" r:id="rId61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2"/>
        <w:outlineLvl w:val="1"/>
        <w:jc w:val="center"/>
      </w:pPr>
      <w:r>
        <w:rPr>
          <w:sz w:val="20"/>
        </w:rPr>
        <w:t xml:space="preserve">Требования об осуществлении контроля (мониторинга)</w:t>
      </w:r>
    </w:p>
    <w:p>
      <w:pPr>
        <w:pStyle w:val="2"/>
        <w:jc w:val="center"/>
      </w:pPr>
      <w:r>
        <w:rPr>
          <w:sz w:val="20"/>
        </w:rPr>
        <w:t xml:space="preserve">за соблюдением условий и порядка предоставления</w:t>
      </w:r>
    </w:p>
    <w:p>
      <w:pPr>
        <w:pStyle w:val="2"/>
        <w:jc w:val="center"/>
      </w:pPr>
      <w:r>
        <w:rPr>
          <w:sz w:val="20"/>
        </w:rPr>
        <w:t xml:space="preserve">субсидий и ответственности за их нарушение</w:t>
      </w:r>
    </w:p>
    <w:p>
      <w:pPr>
        <w:pStyle w:val="0"/>
        <w:ind w:firstLine="540"/>
        <w:jc w:val="both"/>
      </w:pPr>
      <w:r>
        <w:rPr>
          <w:sz w:val="20"/>
        </w:rPr>
      </w:r>
    </w:p>
    <w:p>
      <w:pPr>
        <w:pStyle w:val="0"/>
        <w:ind w:firstLine="540"/>
        <w:jc w:val="both"/>
      </w:pPr>
      <w:r>
        <w:rPr>
          <w:sz w:val="20"/>
        </w:rPr>
        <w:t xml:space="preserve">40. Получатель субсидии несет ответственность за соблюдение условий и порядка предоставления субсидии в соответствии с действующим законодательством Российской Федерации.</w:t>
      </w:r>
    </w:p>
    <w:p>
      <w:pPr>
        <w:pStyle w:val="0"/>
        <w:spacing w:before="200" w:line-rule="auto"/>
        <w:ind w:firstLine="540"/>
        <w:jc w:val="both"/>
      </w:pPr>
      <w:r>
        <w:rPr>
          <w:sz w:val="20"/>
        </w:rPr>
        <w:t xml:space="preserve">41. Министерство осуществляет проверку соблюдения получателем субсидии условий и порядка предоставления субсидий, в том числе в части достижения результатов предоставления субсидии и характеристик результата предоставления субсидии.</w:t>
      </w:r>
    </w:p>
    <w:p>
      <w:pPr>
        <w:pStyle w:val="0"/>
        <w:jc w:val="both"/>
      </w:pPr>
      <w:r>
        <w:rPr>
          <w:sz w:val="20"/>
        </w:rPr>
        <w:t xml:space="preserve">(в ред. </w:t>
      </w:r>
      <w:hyperlink w:history="0" r:id="rId61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Органы государственного финансового контроля осуществляют проверку в соответствии со </w:t>
      </w:r>
      <w:hyperlink w:history="0" r:id="rId614"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статьями 268.1</w:t>
        </w:r>
      </w:hyperlink>
      <w:r>
        <w:rPr>
          <w:sz w:val="20"/>
        </w:rPr>
        <w:t xml:space="preserve"> и </w:t>
      </w:r>
      <w:hyperlink w:history="0" r:id="rId615"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269.2</w:t>
        </w:r>
      </w:hyperlink>
      <w:r>
        <w:rPr>
          <w:sz w:val="20"/>
        </w:rPr>
        <w:t xml:space="preserve"> Бюджетного кодекса Российской Федерации.</w:t>
      </w:r>
    </w:p>
    <w:p>
      <w:pPr>
        <w:pStyle w:val="0"/>
        <w:spacing w:before="200" w:line-rule="auto"/>
        <w:ind w:firstLine="540"/>
        <w:jc w:val="both"/>
      </w:pPr>
      <w:r>
        <w:rPr>
          <w:sz w:val="20"/>
        </w:rPr>
        <w:t xml:space="preserve">42. Министерство, министерство финансов и налоговой политики Новосибирской области проводят мониторинг достижения результатов предоставления субсидии и характеристик результата предоставления субсидии исходя из достижения значений результатов предоставления субсидии и характеристик результата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Министерством финансов Российской Федерации.</w:t>
      </w:r>
    </w:p>
    <w:p>
      <w:pPr>
        <w:pStyle w:val="0"/>
        <w:jc w:val="both"/>
      </w:pPr>
      <w:r>
        <w:rPr>
          <w:sz w:val="20"/>
        </w:rPr>
        <w:t xml:space="preserve">(в ред. </w:t>
      </w:r>
      <w:hyperlink w:history="0" r:id="rId61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bookmarkStart w:id="2163" w:name="P2163"/>
    <w:bookmarkEnd w:id="2163"/>
    <w:p>
      <w:pPr>
        <w:pStyle w:val="0"/>
        <w:spacing w:before="200" w:line-rule="auto"/>
        <w:ind w:firstLine="540"/>
        <w:jc w:val="both"/>
      </w:pPr>
      <w:r>
        <w:rPr>
          <w:sz w:val="20"/>
        </w:rPr>
        <w:t xml:space="preserve">43.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и уполномоченным органом государственного финансового контроля, субсидия подлежит возврату в областной бюджет.</w:t>
      </w:r>
    </w:p>
    <w:bookmarkStart w:id="2164" w:name="P2164"/>
    <w:bookmarkEnd w:id="2164"/>
    <w:p>
      <w:pPr>
        <w:pStyle w:val="0"/>
        <w:spacing w:before="200" w:line-rule="auto"/>
        <w:ind w:firstLine="540"/>
        <w:jc w:val="both"/>
      </w:pPr>
      <w:r>
        <w:rPr>
          <w:sz w:val="20"/>
        </w:rPr>
        <w:t xml:space="preserve">В случае недостижения значений результата предоставления субсидии и характеристик результата предоставления субсидии, выявленных по фактам проверок, проведенных министерством и уполномоченным органом государственного финансового контроля, субсидия подлежит возврату в областной бюджет в той части, в которой результат предоставления субсидии не достигнут.</w:t>
      </w:r>
    </w:p>
    <w:p>
      <w:pPr>
        <w:pStyle w:val="0"/>
        <w:jc w:val="both"/>
      </w:pPr>
      <w:r>
        <w:rPr>
          <w:sz w:val="20"/>
        </w:rPr>
        <w:t xml:space="preserve">(в ред. </w:t>
      </w:r>
      <w:hyperlink w:history="0" r:id="rId61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Размер субсидии, подлежащий возврату в областной бюджет, в случае, если получателем субсидии допущены нарушения обязательств по достижению результата предоставления субсидии, определяется по формуле:</w:t>
      </w:r>
    </w:p>
    <w:p>
      <w:pPr>
        <w:pStyle w:val="0"/>
        <w:jc w:val="both"/>
      </w:pPr>
      <w:r>
        <w:rPr>
          <w:sz w:val="20"/>
        </w:rPr>
        <w:t xml:space="preserve">(в ред. </w:t>
      </w:r>
      <w:hyperlink w:history="0" r:id="rId61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sz w:val="20"/>
        </w:rPr>
        <w:t xml:space="preserve">V</w:t>
      </w:r>
      <w:r>
        <w:rPr>
          <w:sz w:val="20"/>
          <w:vertAlign w:val="subscript"/>
        </w:rPr>
        <w:t xml:space="preserve">возврата</w:t>
      </w:r>
      <w:r>
        <w:rPr>
          <w:sz w:val="20"/>
        </w:rPr>
        <w:t xml:space="preserve"> = 0,1 x (Vсубсидии x k x m / n),</w:t>
      </w:r>
    </w:p>
    <w:p>
      <w:pPr>
        <w:pStyle w:val="0"/>
        <w:jc w:val="both"/>
      </w:pPr>
      <w:r>
        <w:rPr>
          <w:sz w:val="20"/>
        </w:rPr>
        <w:t xml:space="preserve">(в ред. </w:t>
      </w:r>
      <w:hyperlink w:history="0" r:id="rId61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620"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Vсубсидии - размер предоставленной субсидии (в случае наличия неиспользованного остатка субсидии, подлежащей возврату в областной бюджет Новосибирской области, - средства субсидии, использованные казачьим обществом в рамках реализации мероприятий на дату окончания срока реализации мероприятий);</w:t>
      </w:r>
    </w:p>
    <w:p>
      <w:pPr>
        <w:pStyle w:val="0"/>
        <w:jc w:val="both"/>
      </w:pPr>
      <w:r>
        <w:rPr>
          <w:sz w:val="20"/>
        </w:rPr>
        <w:t xml:space="preserve">(в ред. </w:t>
      </w:r>
      <w:hyperlink w:history="0" r:id="rId621"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k - коэффициент возврата субсидии;</w:t>
      </w:r>
    </w:p>
    <w:p>
      <w:pPr>
        <w:pStyle w:val="0"/>
        <w:jc w:val="both"/>
      </w:pPr>
      <w:r>
        <w:rPr>
          <w:sz w:val="20"/>
        </w:rPr>
        <w:t xml:space="preserve">(в ред. </w:t>
      </w:r>
      <w:hyperlink w:history="0" r:id="rId622"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m - количество показателей использования субсидии, по которым не достигнуты плановые значения;</w:t>
      </w:r>
    </w:p>
    <w:p>
      <w:pPr>
        <w:pStyle w:val="0"/>
        <w:jc w:val="both"/>
      </w:pPr>
      <w:r>
        <w:rPr>
          <w:sz w:val="20"/>
        </w:rPr>
        <w:t xml:space="preserve">(в ред. </w:t>
      </w:r>
      <w:hyperlink w:history="0" r:id="rId623"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n - общее количество показателей использования субсидии.</w:t>
      </w:r>
    </w:p>
    <w:p>
      <w:pPr>
        <w:pStyle w:val="0"/>
        <w:jc w:val="both"/>
      </w:pPr>
      <w:r>
        <w:rPr>
          <w:sz w:val="20"/>
        </w:rPr>
        <w:t xml:space="preserve">(в ред. </w:t>
      </w:r>
      <w:hyperlink w:history="0" r:id="rId624"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Коэффициент возврата субсидии (k) рассчитывается по формуле:</w:t>
      </w:r>
    </w:p>
    <w:p>
      <w:pPr>
        <w:pStyle w:val="0"/>
        <w:jc w:val="both"/>
      </w:pPr>
      <w:r>
        <w:rPr>
          <w:sz w:val="20"/>
        </w:rPr>
        <w:t xml:space="preserve">(в ред. </w:t>
      </w:r>
      <w:hyperlink w:history="0" r:id="rId625"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jc w:val="center"/>
      </w:pPr>
      <w:r>
        <w:rPr>
          <w:position w:val="-10"/>
        </w:rPr>
        <w:drawing>
          <wp:inline distT="0" distB="0" distL="0" distR="0">
            <wp:extent cx="1362075" cy="2571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9">
                      <a:extLst>
                        <a:ext uri="{28A0092B-C50C-407E-A947-70E740481C1C}">
                          <a14:useLocalDpi xmlns:a14="http://schemas.microsoft.com/office/drawing/2010/main" val="0"/>
                        </a:ext>
                      </a:extLst>
                    </a:blip>
                    <a:srcRect/>
                    <a:stretch>
                      <a:fillRect/>
                    </a:stretch>
                  </pic:blipFill>
                  <pic:spPr bwMode="auto">
                    <a:xfrm>
                      <a:off x="0" y="0"/>
                      <a:ext cx="1362075" cy="257175"/>
                    </a:xfrm>
                    <a:prstGeom prst="rect">
                      <a:avLst/>
                    </a:prstGeom>
                    <a:noFill/>
                    <a:ln>
                      <a:noFill/>
                    </a:ln>
                  </pic:spPr>
                </pic:pic>
              </a:graphicData>
            </a:graphic>
          </wp:inline>
        </w:drawing>
      </w:r>
    </w:p>
    <w:p>
      <w:pPr>
        <w:pStyle w:val="0"/>
        <w:jc w:val="both"/>
      </w:pPr>
      <w:r>
        <w:rPr>
          <w:sz w:val="20"/>
        </w:rPr>
        <w:t xml:space="preserve">(в ред. </w:t>
      </w:r>
      <w:hyperlink w:history="0" r:id="rId626"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ind w:firstLine="540"/>
        <w:jc w:val="both"/>
      </w:pPr>
      <w:r>
        <w:rPr>
          <w:sz w:val="20"/>
        </w:rPr>
      </w:r>
    </w:p>
    <w:p>
      <w:pPr>
        <w:pStyle w:val="0"/>
        <w:ind w:firstLine="540"/>
        <w:jc w:val="both"/>
      </w:pPr>
      <w:r>
        <w:rPr>
          <w:sz w:val="20"/>
        </w:rPr>
        <w:t xml:space="preserve">где:</w:t>
      </w:r>
    </w:p>
    <w:p>
      <w:pPr>
        <w:pStyle w:val="0"/>
        <w:jc w:val="both"/>
      </w:pPr>
      <w:r>
        <w:rPr>
          <w:sz w:val="20"/>
        </w:rPr>
        <w:t xml:space="preserve">(в ред. </w:t>
      </w:r>
      <w:hyperlink w:history="0" r:id="rId627"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T</w:t>
      </w:r>
      <w:r>
        <w:rPr>
          <w:sz w:val="20"/>
          <w:vertAlign w:val="subscript"/>
        </w:rPr>
        <w:t xml:space="preserve">i</w:t>
      </w:r>
      <w:r>
        <w:rPr>
          <w:sz w:val="20"/>
        </w:rPr>
        <w:t xml:space="preserve"> - фактически достигнутое значение i-го показателя использования субсидии на отчетную дату;</w:t>
      </w:r>
    </w:p>
    <w:p>
      <w:pPr>
        <w:pStyle w:val="0"/>
        <w:jc w:val="both"/>
      </w:pPr>
      <w:r>
        <w:rPr>
          <w:sz w:val="20"/>
        </w:rPr>
        <w:t xml:space="preserve">(в ред. </w:t>
      </w:r>
      <w:hyperlink w:history="0" r:id="rId628"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S</w:t>
      </w:r>
      <w:r>
        <w:rPr>
          <w:sz w:val="20"/>
          <w:vertAlign w:val="subscript"/>
        </w:rPr>
        <w:t xml:space="preserve">i</w:t>
      </w:r>
      <w:r>
        <w:rPr>
          <w:sz w:val="20"/>
        </w:rPr>
        <w:t xml:space="preserve"> - плановое значение i-го показателя использования субсидии, установленное соглашением.</w:t>
      </w:r>
    </w:p>
    <w:p>
      <w:pPr>
        <w:pStyle w:val="0"/>
        <w:jc w:val="both"/>
      </w:pPr>
      <w:r>
        <w:rPr>
          <w:sz w:val="20"/>
        </w:rPr>
        <w:t xml:space="preserve">(в ред. </w:t>
      </w:r>
      <w:hyperlink w:history="0" r:id="rId629" w:tooltip="Постановление Правительства Новосибирской области от 06.02.2025 N 48-п &quot;О внесении изменений в постановление Правительства Новосибирской области от 26.12.2018 N 570-п&quot; {КонсультантПлюс}">
        <w:r>
          <w:rPr>
            <w:sz w:val="20"/>
            <w:color w:val="0000ff"/>
          </w:rPr>
          <w:t xml:space="preserve">постановления</w:t>
        </w:r>
      </w:hyperlink>
      <w:r>
        <w:rPr>
          <w:sz w:val="20"/>
        </w:rPr>
        <w:t xml:space="preserve"> Правительства Новосибирской области от 06.02.2025 N 48-п)</w:t>
      </w:r>
    </w:p>
    <w:p>
      <w:pPr>
        <w:pStyle w:val="0"/>
        <w:spacing w:before="200" w:line-rule="auto"/>
        <w:ind w:firstLine="540"/>
        <w:jc w:val="both"/>
      </w:pPr>
      <w:r>
        <w:rPr>
          <w:sz w:val="20"/>
        </w:rPr>
        <w:t xml:space="preserve">Министерство в течение 30 календарных дней со дня выявления указанных в </w:t>
      </w:r>
      <w:hyperlink w:history="0" w:anchor="P2163" w:tooltip="43.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и уполномоченным органом государственного финансового контроля, субсидия подлежит возврату в областной бюджет.">
        <w:r>
          <w:rPr>
            <w:sz w:val="20"/>
            <w:color w:val="0000ff"/>
          </w:rPr>
          <w:t xml:space="preserve">абзацах первом</w:t>
        </w:r>
      </w:hyperlink>
      <w:r>
        <w:rPr>
          <w:sz w:val="20"/>
        </w:rPr>
        <w:t xml:space="preserve"> и </w:t>
      </w:r>
      <w:hyperlink w:history="0" w:anchor="P2164" w:tooltip="В случае недостижения значений результата предоставления субсидии и характеристик результата предоставления субсидии, выявленных по фактам проверок, проведенных министерством и уполномоченным органом государственного финансового контроля, субсидия подлежит возврату в областной бюджет в той части, в которой результат предоставления субсидии не достигнут.">
        <w:r>
          <w:rPr>
            <w:sz w:val="20"/>
            <w:color w:val="0000ff"/>
          </w:rPr>
          <w:t xml:space="preserve">втором</w:t>
        </w:r>
      </w:hyperlink>
      <w:r>
        <w:rPr>
          <w:sz w:val="20"/>
        </w:rPr>
        <w:t xml:space="preserve"> настоящего пункта нарушений направляет организации письменное уведомление о возврате субсидии (части субсидии) в областной бюджет.</w:t>
      </w:r>
    </w:p>
    <w:p>
      <w:pPr>
        <w:pStyle w:val="0"/>
        <w:spacing w:before="200" w:line-rule="auto"/>
        <w:ind w:firstLine="540"/>
        <w:jc w:val="both"/>
      </w:pPr>
      <w:r>
        <w:rPr>
          <w:sz w:val="20"/>
        </w:rPr>
        <w:t xml:space="preserve">Казачье общество обязано в течение 30 календарных дней со дня получения письменного уведомления от министерства о возврате субсидии перечислить указанную сумму денежных средств в областной бюджет.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44. Субсидии, не использованные организацией в сроки, предусмотренные соглашением, должны быть возвращены в областной бюджет в трехдневный срок с даты окончания срока использования субсидии, установленного соглашением.</w:t>
      </w:r>
    </w:p>
    <w:p>
      <w:pPr>
        <w:pStyle w:val="0"/>
        <w:spacing w:before="200" w:line-rule="auto"/>
        <w:ind w:firstLine="540"/>
        <w:jc w:val="both"/>
      </w:pPr>
      <w:r>
        <w:rPr>
          <w:sz w:val="20"/>
        </w:rPr>
        <w:t xml:space="preserve">В случае невозврата субсидии по истечении срока, указанного в настоящем пункте, взыскание указанных средств осуществляется в судебном порядке в соответствии с законодательством Российской Федерации.</w:t>
      </w:r>
    </w:p>
    <w:p>
      <w:pPr>
        <w:pStyle w:val="0"/>
        <w:spacing w:before="200" w:line-rule="auto"/>
        <w:ind w:firstLine="540"/>
        <w:jc w:val="both"/>
      </w:pPr>
      <w:r>
        <w:rPr>
          <w:sz w:val="20"/>
        </w:rPr>
        <w:t xml:space="preserve">45. При реорганизации казачьего общества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pPr>
        <w:pStyle w:val="0"/>
        <w:spacing w:before="200" w:line-rule="auto"/>
        <w:ind w:firstLine="540"/>
        <w:jc w:val="both"/>
      </w:pPr>
      <w:r>
        <w:rPr>
          <w:sz w:val="20"/>
        </w:rPr>
        <w:t xml:space="preserve">При реорганизации казачьего общества в форме разделения, выделения, а также при его ликвидации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организацией обязательствах, источником финансового обеспечения которых является субсидия, и возврате неиспользованного остатка субсидии в областной бюджет Новосибирской области.</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26.12.2018 N 570-п</w:t>
            <w:br/>
            <w:t>(ред. от 06.02.2025)</w:t>
            <w:br/>
            <w:t>"Об утверждении государстве...</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49&amp;n=121801&amp;dst=100005" TargetMode = "External"/>
	<Relationship Id="rId8" Type="http://schemas.openxmlformats.org/officeDocument/2006/relationships/hyperlink" Target="https://login.consultant.ru/link/?req=doc&amp;base=RLAW049&amp;n=124927&amp;dst=100005" TargetMode = "External"/>
	<Relationship Id="rId9" Type="http://schemas.openxmlformats.org/officeDocument/2006/relationships/hyperlink" Target="https://login.consultant.ru/link/?req=doc&amp;base=RLAW049&amp;n=127950&amp;dst=100005" TargetMode = "External"/>
	<Relationship Id="rId10" Type="http://schemas.openxmlformats.org/officeDocument/2006/relationships/hyperlink" Target="https://login.consultant.ru/link/?req=doc&amp;base=RLAW049&amp;n=131457&amp;dst=100005" TargetMode = "External"/>
	<Relationship Id="rId11" Type="http://schemas.openxmlformats.org/officeDocument/2006/relationships/hyperlink" Target="https://login.consultant.ru/link/?req=doc&amp;base=RLAW049&amp;n=136999&amp;dst=100005" TargetMode = "External"/>
	<Relationship Id="rId12" Type="http://schemas.openxmlformats.org/officeDocument/2006/relationships/hyperlink" Target="https://login.consultant.ru/link/?req=doc&amp;base=RLAW049&amp;n=138050&amp;dst=100005" TargetMode = "External"/>
	<Relationship Id="rId13" Type="http://schemas.openxmlformats.org/officeDocument/2006/relationships/hyperlink" Target="https://login.consultant.ru/link/?req=doc&amp;base=RLAW049&amp;n=140130&amp;dst=100005" TargetMode = "External"/>
	<Relationship Id="rId14" Type="http://schemas.openxmlformats.org/officeDocument/2006/relationships/hyperlink" Target="https://login.consultant.ru/link/?req=doc&amp;base=RLAW049&amp;n=144827&amp;dst=100005" TargetMode = "External"/>
	<Relationship Id="rId15" Type="http://schemas.openxmlformats.org/officeDocument/2006/relationships/hyperlink" Target="https://login.consultant.ru/link/?req=doc&amp;base=RLAW049&amp;n=146644&amp;dst=100005" TargetMode = "External"/>
	<Relationship Id="rId16" Type="http://schemas.openxmlformats.org/officeDocument/2006/relationships/hyperlink" Target="https://login.consultant.ru/link/?req=doc&amp;base=RLAW049&amp;n=149450&amp;dst=100005" TargetMode = "External"/>
	<Relationship Id="rId17" Type="http://schemas.openxmlformats.org/officeDocument/2006/relationships/hyperlink" Target="https://login.consultant.ru/link/?req=doc&amp;base=RLAW049&amp;n=154054&amp;dst=100005" TargetMode = "External"/>
	<Relationship Id="rId18" Type="http://schemas.openxmlformats.org/officeDocument/2006/relationships/hyperlink" Target="https://login.consultant.ru/link/?req=doc&amp;base=RLAW049&amp;n=156028&amp;dst=100005" TargetMode = "External"/>
	<Relationship Id="rId19" Type="http://schemas.openxmlformats.org/officeDocument/2006/relationships/hyperlink" Target="https://login.consultant.ru/link/?req=doc&amp;base=RLAW049&amp;n=159632&amp;dst=100005" TargetMode = "External"/>
	<Relationship Id="rId20" Type="http://schemas.openxmlformats.org/officeDocument/2006/relationships/hyperlink" Target="https://login.consultant.ru/link/?req=doc&amp;base=RLAW049&amp;n=161014&amp;dst=100005" TargetMode = "External"/>
	<Relationship Id="rId21" Type="http://schemas.openxmlformats.org/officeDocument/2006/relationships/hyperlink" Target="https://login.consultant.ru/link/?req=doc&amp;base=RLAW049&amp;n=161768&amp;dst=100005" TargetMode = "External"/>
	<Relationship Id="rId22" Type="http://schemas.openxmlformats.org/officeDocument/2006/relationships/hyperlink" Target="https://login.consultant.ru/link/?req=doc&amp;base=RLAW049&amp;n=163858&amp;dst=100005" TargetMode = "External"/>
	<Relationship Id="rId23" Type="http://schemas.openxmlformats.org/officeDocument/2006/relationships/hyperlink" Target="https://login.consultant.ru/link/?req=doc&amp;base=RLAW049&amp;n=164947&amp;dst=100005" TargetMode = "External"/>
	<Relationship Id="rId24" Type="http://schemas.openxmlformats.org/officeDocument/2006/relationships/hyperlink" Target="https://login.consultant.ru/link/?req=doc&amp;base=RLAW049&amp;n=167611&amp;dst=100005" TargetMode = "External"/>
	<Relationship Id="rId25" Type="http://schemas.openxmlformats.org/officeDocument/2006/relationships/hyperlink" Target="https://login.consultant.ru/link/?req=doc&amp;base=RLAW049&amp;n=171048&amp;dst=100005" TargetMode = "External"/>
	<Relationship Id="rId26" Type="http://schemas.openxmlformats.org/officeDocument/2006/relationships/hyperlink" Target="https://login.consultant.ru/link/?req=doc&amp;base=RLAW049&amp;n=174396&amp;dst=100005" TargetMode = "External"/>
	<Relationship Id="rId27" Type="http://schemas.openxmlformats.org/officeDocument/2006/relationships/hyperlink" Target="https://login.consultant.ru/link/?req=doc&amp;base=RLAW049&amp;n=178952&amp;dst=100005" TargetMode = "External"/>
	<Relationship Id="rId28" Type="http://schemas.openxmlformats.org/officeDocument/2006/relationships/hyperlink" Target="https://login.consultant.ru/link/?req=doc&amp;base=RLAW049&amp;n=180335&amp;dst=100005" TargetMode = "External"/>
	<Relationship Id="rId29" Type="http://schemas.openxmlformats.org/officeDocument/2006/relationships/hyperlink" Target="https://login.consultant.ru/link/?req=doc&amp;base=RLAW049&amp;n=180653&amp;dst=100041" TargetMode = "External"/>
	<Relationship Id="rId30" Type="http://schemas.openxmlformats.org/officeDocument/2006/relationships/hyperlink" Target="https://login.consultant.ru/link/?req=doc&amp;base=RLAW049&amp;n=181970&amp;dst=100257" TargetMode = "External"/>
	<Relationship Id="rId31" Type="http://schemas.openxmlformats.org/officeDocument/2006/relationships/hyperlink" Target="https://login.consultant.ru/link/?req=doc&amp;base=RLAW049&amp;n=131457&amp;dst=100006" TargetMode = "External"/>
	<Relationship Id="rId32" Type="http://schemas.openxmlformats.org/officeDocument/2006/relationships/hyperlink" Target="https://login.consultant.ru/link/?req=doc&amp;base=RLAW049&amp;n=140130&amp;dst=100006" TargetMode = "External"/>
	<Relationship Id="rId33" Type="http://schemas.openxmlformats.org/officeDocument/2006/relationships/hyperlink" Target="https://login.consultant.ru/link/?req=doc&amp;base=RLAW049&amp;n=174396&amp;dst=100007" TargetMode = "External"/>
	<Relationship Id="rId34" Type="http://schemas.openxmlformats.org/officeDocument/2006/relationships/hyperlink" Target="https://login.consultant.ru/link/?req=doc&amp;base=RLAW049&amp;n=174396&amp;dst=100008" TargetMode = "External"/>
	<Relationship Id="rId35" Type="http://schemas.openxmlformats.org/officeDocument/2006/relationships/hyperlink" Target="https://login.consultant.ru/link/?req=doc&amp;base=RLAW049&amp;n=174396&amp;dst=100009" TargetMode = "External"/>
	<Relationship Id="rId36" Type="http://schemas.openxmlformats.org/officeDocument/2006/relationships/hyperlink" Target="https://login.consultant.ru/link/?req=doc&amp;base=RLAW049&amp;n=178952&amp;dst=100006" TargetMode = "External"/>
	<Relationship Id="rId37" Type="http://schemas.openxmlformats.org/officeDocument/2006/relationships/hyperlink" Target="https://login.consultant.ru/link/?req=doc&amp;base=RLAW049&amp;n=174396&amp;dst=100011" TargetMode = "External"/>
	<Relationship Id="rId38" Type="http://schemas.openxmlformats.org/officeDocument/2006/relationships/hyperlink" Target="https://login.consultant.ru/link/?req=doc&amp;base=RLAW049&amp;n=144827&amp;dst=100006" TargetMode = "External"/>
	<Relationship Id="rId39" Type="http://schemas.openxmlformats.org/officeDocument/2006/relationships/hyperlink" Target="https://login.consultant.ru/link/?req=doc&amp;base=RLAW049&amp;n=161768&amp;dst=100006" TargetMode = "External"/>
	<Relationship Id="rId40" Type="http://schemas.openxmlformats.org/officeDocument/2006/relationships/hyperlink" Target="https://login.consultant.ru/link/?req=doc&amp;base=RLAW049&amp;n=174396&amp;dst=100012" TargetMode = "External"/>
	<Relationship Id="rId41" Type="http://schemas.openxmlformats.org/officeDocument/2006/relationships/hyperlink" Target="https://login.consultant.ru/link/?req=doc&amp;base=RLAW049&amp;n=114293" TargetMode = "External"/>
	<Relationship Id="rId42" Type="http://schemas.openxmlformats.org/officeDocument/2006/relationships/hyperlink" Target="https://login.consultant.ru/link/?req=doc&amp;base=RLAW049&amp;n=85866" TargetMode = "External"/>
	<Relationship Id="rId43" Type="http://schemas.openxmlformats.org/officeDocument/2006/relationships/hyperlink" Target="https://login.consultant.ru/link/?req=doc&amp;base=RLAW049&amp;n=86351" TargetMode = "External"/>
	<Relationship Id="rId44" Type="http://schemas.openxmlformats.org/officeDocument/2006/relationships/hyperlink" Target="https://login.consultant.ru/link/?req=doc&amp;base=RLAW049&amp;n=95166" TargetMode = "External"/>
	<Relationship Id="rId45" Type="http://schemas.openxmlformats.org/officeDocument/2006/relationships/hyperlink" Target="https://login.consultant.ru/link/?req=doc&amp;base=RLAW049&amp;n=97120" TargetMode = "External"/>
	<Relationship Id="rId46" Type="http://schemas.openxmlformats.org/officeDocument/2006/relationships/hyperlink" Target="https://login.consultant.ru/link/?req=doc&amp;base=RLAW049&amp;n=101363" TargetMode = "External"/>
	<Relationship Id="rId47" Type="http://schemas.openxmlformats.org/officeDocument/2006/relationships/hyperlink" Target="https://login.consultant.ru/link/?req=doc&amp;base=RLAW049&amp;n=108610" TargetMode = "External"/>
	<Relationship Id="rId48" Type="http://schemas.openxmlformats.org/officeDocument/2006/relationships/hyperlink" Target="https://login.consultant.ru/link/?req=doc&amp;base=RLAW049&amp;n=110192" TargetMode = "External"/>
	<Relationship Id="rId49" Type="http://schemas.openxmlformats.org/officeDocument/2006/relationships/hyperlink" Target="https://login.consultant.ru/link/?req=doc&amp;base=RLAW049&amp;n=114209" TargetMode = "External"/>
	<Relationship Id="rId50" Type="http://schemas.openxmlformats.org/officeDocument/2006/relationships/hyperlink" Target="https://login.consultant.ru/link/?req=doc&amp;base=RLAW049&amp;n=111179" TargetMode = "External"/>
	<Relationship Id="rId51" Type="http://schemas.openxmlformats.org/officeDocument/2006/relationships/hyperlink" Target="https://login.consultant.ru/link/?req=doc&amp;base=RLAW049&amp;n=94717" TargetMode = "External"/>
	<Relationship Id="rId52" Type="http://schemas.openxmlformats.org/officeDocument/2006/relationships/hyperlink" Target="https://login.consultant.ru/link/?req=doc&amp;base=RLAW049&amp;n=96925" TargetMode = "External"/>
	<Relationship Id="rId53" Type="http://schemas.openxmlformats.org/officeDocument/2006/relationships/hyperlink" Target="https://login.consultant.ru/link/?req=doc&amp;base=RLAW049&amp;n=103401" TargetMode = "External"/>
	<Relationship Id="rId54" Type="http://schemas.openxmlformats.org/officeDocument/2006/relationships/hyperlink" Target="https://login.consultant.ru/link/?req=doc&amp;base=RLAW049&amp;n=106258" TargetMode = "External"/>
	<Relationship Id="rId55" Type="http://schemas.openxmlformats.org/officeDocument/2006/relationships/hyperlink" Target="https://login.consultant.ru/link/?req=doc&amp;base=RLAW049&amp;n=111103" TargetMode = "External"/>
	<Relationship Id="rId56" Type="http://schemas.openxmlformats.org/officeDocument/2006/relationships/hyperlink" Target="https://login.consultant.ru/link/?req=doc&amp;base=RLAW049&amp;n=113168" TargetMode = "External"/>
	<Relationship Id="rId57" Type="http://schemas.openxmlformats.org/officeDocument/2006/relationships/hyperlink" Target="https://login.consultant.ru/link/?req=doc&amp;base=RLAW049&amp;n=83804" TargetMode = "External"/>
	<Relationship Id="rId58" Type="http://schemas.openxmlformats.org/officeDocument/2006/relationships/hyperlink" Target="https://login.consultant.ru/link/?req=doc&amp;base=RLAW049&amp;n=95682" TargetMode = "External"/>
	<Relationship Id="rId59" Type="http://schemas.openxmlformats.org/officeDocument/2006/relationships/hyperlink" Target="https://login.consultant.ru/link/?req=doc&amp;base=RLAW049&amp;n=95610" TargetMode = "External"/>
	<Relationship Id="rId60" Type="http://schemas.openxmlformats.org/officeDocument/2006/relationships/hyperlink" Target="https://login.consultant.ru/link/?req=doc&amp;base=RLAW049&amp;n=101931" TargetMode = "External"/>
	<Relationship Id="rId61" Type="http://schemas.openxmlformats.org/officeDocument/2006/relationships/hyperlink" Target="https://login.consultant.ru/link/?req=doc&amp;base=RLAW049&amp;n=107779" TargetMode = "External"/>
	<Relationship Id="rId62" Type="http://schemas.openxmlformats.org/officeDocument/2006/relationships/hyperlink" Target="https://login.consultant.ru/link/?req=doc&amp;base=RLAW049&amp;n=109388" TargetMode = "External"/>
	<Relationship Id="rId63" Type="http://schemas.openxmlformats.org/officeDocument/2006/relationships/hyperlink" Target="https://login.consultant.ru/link/?req=doc&amp;base=RLAW049&amp;n=113117" TargetMode = "External"/>
	<Relationship Id="rId64" Type="http://schemas.openxmlformats.org/officeDocument/2006/relationships/hyperlink" Target="https://login.consultant.ru/link/?req=doc&amp;base=RLAW049&amp;n=106979" TargetMode = "External"/>
	<Relationship Id="rId65" Type="http://schemas.openxmlformats.org/officeDocument/2006/relationships/hyperlink" Target="https://login.consultant.ru/link/?req=doc&amp;base=RLAW049&amp;n=92220" TargetMode = "External"/>
	<Relationship Id="rId66" Type="http://schemas.openxmlformats.org/officeDocument/2006/relationships/hyperlink" Target="https://login.consultant.ru/link/?req=doc&amp;base=RLAW049&amp;n=96914" TargetMode = "External"/>
	<Relationship Id="rId67" Type="http://schemas.openxmlformats.org/officeDocument/2006/relationships/hyperlink" Target="https://login.consultant.ru/link/?req=doc&amp;base=RLAW049&amp;n=104509" TargetMode = "External"/>
	<Relationship Id="rId68" Type="http://schemas.openxmlformats.org/officeDocument/2006/relationships/hyperlink" Target="https://login.consultant.ru/link/?req=doc&amp;base=RLAW049&amp;n=106895" TargetMode = "External"/>
	<Relationship Id="rId69" Type="http://schemas.openxmlformats.org/officeDocument/2006/relationships/hyperlink" Target="https://login.consultant.ru/link/?req=doc&amp;base=RLAW049&amp;n=121801&amp;dst=100007" TargetMode = "External"/>
	<Relationship Id="rId70" Type="http://schemas.openxmlformats.org/officeDocument/2006/relationships/hyperlink" Target="https://login.consultant.ru/link/?req=doc&amp;base=RLAW049&amp;n=124927&amp;dst=100006" TargetMode = "External"/>
	<Relationship Id="rId71" Type="http://schemas.openxmlformats.org/officeDocument/2006/relationships/hyperlink" Target="https://login.consultant.ru/link/?req=doc&amp;base=RLAW049&amp;n=127950&amp;dst=100006" TargetMode = "External"/>
	<Relationship Id="rId72" Type="http://schemas.openxmlformats.org/officeDocument/2006/relationships/hyperlink" Target="https://login.consultant.ru/link/?req=doc&amp;base=RLAW049&amp;n=131457&amp;dst=100007" TargetMode = "External"/>
	<Relationship Id="rId73" Type="http://schemas.openxmlformats.org/officeDocument/2006/relationships/hyperlink" Target="https://login.consultant.ru/link/?req=doc&amp;base=RLAW049&amp;n=138050&amp;dst=100006" TargetMode = "External"/>
	<Relationship Id="rId74" Type="http://schemas.openxmlformats.org/officeDocument/2006/relationships/hyperlink" Target="https://login.consultant.ru/link/?req=doc&amp;base=RLAW049&amp;n=140130&amp;dst=100007" TargetMode = "External"/>
	<Relationship Id="rId75" Type="http://schemas.openxmlformats.org/officeDocument/2006/relationships/hyperlink" Target="https://login.consultant.ru/link/?req=doc&amp;base=RLAW049&amp;n=144827&amp;dst=100008" TargetMode = "External"/>
	<Relationship Id="rId76" Type="http://schemas.openxmlformats.org/officeDocument/2006/relationships/hyperlink" Target="https://login.consultant.ru/link/?req=doc&amp;base=RLAW049&amp;n=149450&amp;dst=100006" TargetMode = "External"/>
	<Relationship Id="rId77" Type="http://schemas.openxmlformats.org/officeDocument/2006/relationships/hyperlink" Target="https://login.consultant.ru/link/?req=doc&amp;base=RLAW049&amp;n=156028&amp;dst=100006" TargetMode = "External"/>
	<Relationship Id="rId78" Type="http://schemas.openxmlformats.org/officeDocument/2006/relationships/hyperlink" Target="https://login.consultant.ru/link/?req=doc&amp;base=RLAW049&amp;n=159632&amp;dst=100006" TargetMode = "External"/>
	<Relationship Id="rId79" Type="http://schemas.openxmlformats.org/officeDocument/2006/relationships/hyperlink" Target="https://login.consultant.ru/link/?req=doc&amp;base=RLAW049&amp;n=161014&amp;dst=100006" TargetMode = "External"/>
	<Relationship Id="rId80" Type="http://schemas.openxmlformats.org/officeDocument/2006/relationships/hyperlink" Target="https://login.consultant.ru/link/?req=doc&amp;base=RLAW049&amp;n=163858&amp;dst=100006" TargetMode = "External"/>
	<Relationship Id="rId81" Type="http://schemas.openxmlformats.org/officeDocument/2006/relationships/hyperlink" Target="https://login.consultant.ru/link/?req=doc&amp;base=RLAW049&amp;n=167611&amp;dst=100006" TargetMode = "External"/>
	<Relationship Id="rId82" Type="http://schemas.openxmlformats.org/officeDocument/2006/relationships/hyperlink" Target="https://login.consultant.ru/link/?req=doc&amp;base=RLAW049&amp;n=171048&amp;dst=100006" TargetMode = "External"/>
	<Relationship Id="rId83" Type="http://schemas.openxmlformats.org/officeDocument/2006/relationships/hyperlink" Target="https://login.consultant.ru/link/?req=doc&amp;base=RLAW049&amp;n=178952&amp;dst=100007" TargetMode = "External"/>
	<Relationship Id="rId84" Type="http://schemas.openxmlformats.org/officeDocument/2006/relationships/hyperlink" Target="https://login.consultant.ru/link/?req=doc&amp;base=RLAW049&amp;n=171048&amp;dst=100007" TargetMode = "External"/>
	<Relationship Id="rId85" Type="http://schemas.openxmlformats.org/officeDocument/2006/relationships/hyperlink" Target="https://login.consultant.ru/link/?req=doc&amp;base=RLAW049&amp;n=179200" TargetMode = "External"/>
	<Relationship Id="rId86" Type="http://schemas.openxmlformats.org/officeDocument/2006/relationships/hyperlink" Target="https://login.consultant.ru/link/?req=doc&amp;base=RLAW049&amp;n=178952&amp;dst=100009" TargetMode = "External"/>
	<Relationship Id="rId87" Type="http://schemas.openxmlformats.org/officeDocument/2006/relationships/hyperlink" Target="https://login.consultant.ru/link/?req=doc&amp;base=RLAW049&amp;n=178952&amp;dst=100011" TargetMode = "External"/>
	<Relationship Id="rId88" Type="http://schemas.openxmlformats.org/officeDocument/2006/relationships/hyperlink" Target="https://login.consultant.ru/link/?req=doc&amp;base=RLAW049&amp;n=178952&amp;dst=100012" TargetMode = "External"/>
	<Relationship Id="rId89" Type="http://schemas.openxmlformats.org/officeDocument/2006/relationships/hyperlink" Target="https://login.consultant.ru/link/?req=doc&amp;base=RLAW049&amp;n=178952&amp;dst=100013" TargetMode = "External"/>
	<Relationship Id="rId90" Type="http://schemas.openxmlformats.org/officeDocument/2006/relationships/hyperlink" Target="https://login.consultant.ru/link/?req=doc&amp;base=RLAW049&amp;n=178952&amp;dst=100014" TargetMode = "External"/>
	<Relationship Id="rId91" Type="http://schemas.openxmlformats.org/officeDocument/2006/relationships/hyperlink" Target="https://login.consultant.ru/link/?req=doc&amp;base=RLAW049&amp;n=178952&amp;dst=100015" TargetMode = "External"/>
	<Relationship Id="rId92" Type="http://schemas.openxmlformats.org/officeDocument/2006/relationships/hyperlink" Target="https://login.consultant.ru/link/?req=doc&amp;base=RLAW049&amp;n=178952&amp;dst=100016" TargetMode = "External"/>
	<Relationship Id="rId93" Type="http://schemas.openxmlformats.org/officeDocument/2006/relationships/hyperlink" Target="https://login.consultant.ru/link/?req=doc&amp;base=RLAW049&amp;n=178952&amp;dst=100019" TargetMode = "External"/>
	<Relationship Id="rId94" Type="http://schemas.openxmlformats.org/officeDocument/2006/relationships/hyperlink" Target="https://login.consultant.ru/link/?req=doc&amp;base=LAW&amp;n=467303" TargetMode = "External"/>
	<Relationship Id="rId95" Type="http://schemas.openxmlformats.org/officeDocument/2006/relationships/hyperlink" Target="https://login.consultant.ru/link/?req=doc&amp;base=LAW&amp;n=485891" TargetMode = "External"/>
	<Relationship Id="rId96" Type="http://schemas.openxmlformats.org/officeDocument/2006/relationships/hyperlink" Target="https://login.consultant.ru/link/?req=doc&amp;base=LAW&amp;n=389271" TargetMode = "External"/>
	<Relationship Id="rId97" Type="http://schemas.openxmlformats.org/officeDocument/2006/relationships/hyperlink" Target="https://login.consultant.ru/link/?req=doc&amp;base=LAW&amp;n=430906" TargetMode = "External"/>
	<Relationship Id="rId98" Type="http://schemas.openxmlformats.org/officeDocument/2006/relationships/hyperlink" Target="https://login.consultant.ru/link/?req=doc&amp;base=RLAW049&amp;n=158112" TargetMode = "External"/>
	<Relationship Id="rId99" Type="http://schemas.openxmlformats.org/officeDocument/2006/relationships/hyperlink" Target="https://login.consultant.ru/link/?req=doc&amp;base=LAW&amp;n=493881&amp;dst=100030" TargetMode = "External"/>
	<Relationship Id="rId100" Type="http://schemas.openxmlformats.org/officeDocument/2006/relationships/hyperlink" Target="https://login.consultant.ru/link/?req=doc&amp;base=RLAW049&amp;n=171048&amp;dst=100121" TargetMode = "External"/>
	<Relationship Id="rId101" Type="http://schemas.openxmlformats.org/officeDocument/2006/relationships/hyperlink" Target="https://login.consultant.ru/link/?req=doc&amp;base=RLAW049&amp;n=161014&amp;dst=100031" TargetMode = "External"/>
	<Relationship Id="rId102" Type="http://schemas.openxmlformats.org/officeDocument/2006/relationships/hyperlink" Target="https://login.consultant.ru/link/?req=doc&amp;base=RLAW049&amp;n=171048&amp;dst=100121" TargetMode = "External"/>
	<Relationship Id="rId103" Type="http://schemas.openxmlformats.org/officeDocument/2006/relationships/hyperlink" Target="https://login.consultant.ru/link/?req=doc&amp;base=RLAW049&amp;n=161014&amp;dst=100031" TargetMode = "External"/>
	<Relationship Id="rId104" Type="http://schemas.openxmlformats.org/officeDocument/2006/relationships/hyperlink" Target="https://login.consultant.ru/link/?req=doc&amp;base=RLAW049&amp;n=161014&amp;dst=100031" TargetMode = "External"/>
	<Relationship Id="rId105" Type="http://schemas.openxmlformats.org/officeDocument/2006/relationships/hyperlink" Target="https://login.consultant.ru/link/?req=doc&amp;base=RLAW049&amp;n=161014&amp;dst=100031" TargetMode = "External"/>
	<Relationship Id="rId106" Type="http://schemas.openxmlformats.org/officeDocument/2006/relationships/hyperlink" Target="https://login.consultant.ru/link/?req=doc&amp;base=RLAW049&amp;n=171048&amp;dst=100126" TargetMode = "External"/>
	<Relationship Id="rId107" Type="http://schemas.openxmlformats.org/officeDocument/2006/relationships/hyperlink" Target="https://login.consultant.ru/link/?req=doc&amp;base=RLAW049&amp;n=171048&amp;dst=100127" TargetMode = "External"/>
	<Relationship Id="rId108" Type="http://schemas.openxmlformats.org/officeDocument/2006/relationships/hyperlink" Target="https://login.consultant.ru/link/?req=doc&amp;base=RLAW049&amp;n=171048&amp;dst=100128" TargetMode = "External"/>
	<Relationship Id="rId109" Type="http://schemas.openxmlformats.org/officeDocument/2006/relationships/hyperlink" Target="https://login.consultant.ru/link/?req=doc&amp;base=RLAW049&amp;n=171048&amp;dst=100130" TargetMode = "External"/>
	<Relationship Id="rId110" Type="http://schemas.openxmlformats.org/officeDocument/2006/relationships/hyperlink" Target="https://login.consultant.ru/link/?req=doc&amp;base=RLAW049&amp;n=171048&amp;dst=100131" TargetMode = "External"/>
	<Relationship Id="rId111" Type="http://schemas.openxmlformats.org/officeDocument/2006/relationships/hyperlink" Target="https://login.consultant.ru/link/?req=doc&amp;base=RLAW049&amp;n=171048&amp;dst=100132" TargetMode = "External"/>
	<Relationship Id="rId112" Type="http://schemas.openxmlformats.org/officeDocument/2006/relationships/hyperlink" Target="https://login.consultant.ru/link/?req=doc&amp;base=RLAW049&amp;n=171048&amp;dst=100133" TargetMode = "External"/>
	<Relationship Id="rId113" Type="http://schemas.openxmlformats.org/officeDocument/2006/relationships/hyperlink" Target="https://login.consultant.ru/link/?req=doc&amp;base=RLAW049&amp;n=131457&amp;dst=100026" TargetMode = "External"/>
	<Relationship Id="rId114" Type="http://schemas.openxmlformats.org/officeDocument/2006/relationships/hyperlink" Target="https://login.consultant.ru/link/?req=doc&amp;base=RLAW049&amp;n=138050&amp;dst=100093" TargetMode = "External"/>
	<Relationship Id="rId115" Type="http://schemas.openxmlformats.org/officeDocument/2006/relationships/hyperlink" Target="https://login.consultant.ru/link/?req=doc&amp;base=RLAW049&amp;n=140130&amp;dst=100245" TargetMode = "External"/>
	<Relationship Id="rId116" Type="http://schemas.openxmlformats.org/officeDocument/2006/relationships/hyperlink" Target="https://login.consultant.ru/link/?req=doc&amp;base=RLAW049&amp;n=144827&amp;dst=100150" TargetMode = "External"/>
	<Relationship Id="rId117" Type="http://schemas.openxmlformats.org/officeDocument/2006/relationships/hyperlink" Target="https://login.consultant.ru/link/?req=doc&amp;base=RLAW049&amp;n=156028&amp;dst=100072" TargetMode = "External"/>
	<Relationship Id="rId118" Type="http://schemas.openxmlformats.org/officeDocument/2006/relationships/hyperlink" Target="https://login.consultant.ru/link/?req=doc&amp;base=RLAW049&amp;n=159632&amp;dst=100007" TargetMode = "External"/>
	<Relationship Id="rId119" Type="http://schemas.openxmlformats.org/officeDocument/2006/relationships/hyperlink" Target="https://login.consultant.ru/link/?req=doc&amp;base=RLAW049&amp;n=161014&amp;dst=100153" TargetMode = "External"/>
	<Relationship Id="rId120" Type="http://schemas.openxmlformats.org/officeDocument/2006/relationships/hyperlink" Target="https://login.consultant.ru/link/?req=doc&amp;base=RLAW049&amp;n=167611&amp;dst=100080" TargetMode = "External"/>
	<Relationship Id="rId121" Type="http://schemas.openxmlformats.org/officeDocument/2006/relationships/hyperlink" Target="https://login.consultant.ru/link/?req=doc&amp;base=RLAW049&amp;n=178952&amp;dst=100020" TargetMode = "External"/>
	<Relationship Id="rId122" Type="http://schemas.openxmlformats.org/officeDocument/2006/relationships/hyperlink" Target="https://login.consultant.ru/link/?req=doc&amp;base=RLAW049&amp;n=167611&amp;dst=100082" TargetMode = "External"/>
	<Relationship Id="rId123" Type="http://schemas.openxmlformats.org/officeDocument/2006/relationships/hyperlink" Target="https://login.consultant.ru/link/?req=doc&amp;base=RLAW049&amp;n=178952&amp;dst=100022" TargetMode = "External"/>
	<Relationship Id="rId124" Type="http://schemas.openxmlformats.org/officeDocument/2006/relationships/hyperlink" Target="https://login.consultant.ru/link/?req=doc&amp;base=LAW&amp;n=466790&amp;dst=5716" TargetMode = "External"/>
	<Relationship Id="rId125" Type="http://schemas.openxmlformats.org/officeDocument/2006/relationships/hyperlink" Target="https://login.consultant.ru/link/?req=doc&amp;base=RLAW049&amp;n=179279&amp;dst=100016" TargetMode = "External"/>
	<Relationship Id="rId126" Type="http://schemas.openxmlformats.org/officeDocument/2006/relationships/hyperlink" Target="https://login.consultant.ru/link/?req=doc&amp;base=RLAW049&amp;n=167611&amp;dst=100085" TargetMode = "External"/>
	<Relationship Id="rId127" Type="http://schemas.openxmlformats.org/officeDocument/2006/relationships/hyperlink" Target="https://login.consultant.ru/link/?req=doc&amp;base=RLAW049&amp;n=178952&amp;dst=100023" TargetMode = "External"/>
	<Relationship Id="rId128" Type="http://schemas.openxmlformats.org/officeDocument/2006/relationships/hyperlink" Target="https://login.consultant.ru/link/?req=doc&amp;base=RLAW049&amp;n=167611&amp;dst=100086" TargetMode = "External"/>
	<Relationship Id="rId129" Type="http://schemas.openxmlformats.org/officeDocument/2006/relationships/hyperlink" Target="https://login.consultant.ru/link/?req=doc&amp;base=RLAW049&amp;n=178952&amp;dst=100024" TargetMode = "External"/>
	<Relationship Id="rId130" Type="http://schemas.openxmlformats.org/officeDocument/2006/relationships/hyperlink" Target="https://login.consultant.ru/link/?req=doc&amp;base=RLAW049&amp;n=167611&amp;dst=100086" TargetMode = "External"/>
	<Relationship Id="rId131" Type="http://schemas.openxmlformats.org/officeDocument/2006/relationships/hyperlink" Target="https://login.consultant.ru/link/?req=doc&amp;base=RLAW049&amp;n=178952&amp;dst=100026" TargetMode = "External"/>
	<Relationship Id="rId132" Type="http://schemas.openxmlformats.org/officeDocument/2006/relationships/hyperlink" Target="https://login.consultant.ru/link/?req=doc&amp;base=RLAW049&amp;n=167611&amp;dst=100086" TargetMode = "External"/>
	<Relationship Id="rId133" Type="http://schemas.openxmlformats.org/officeDocument/2006/relationships/hyperlink" Target="https://login.consultant.ru/link/?req=doc&amp;base=RLAW049&amp;n=178952&amp;dst=100027" TargetMode = "External"/>
	<Relationship Id="rId134" Type="http://schemas.openxmlformats.org/officeDocument/2006/relationships/hyperlink" Target="https://login.consultant.ru/link/?req=doc&amp;base=RLAW049&amp;n=144827&amp;dst=100151" TargetMode = "External"/>
	<Relationship Id="rId135" Type="http://schemas.openxmlformats.org/officeDocument/2006/relationships/hyperlink" Target="https://login.consultant.ru/link/?req=doc&amp;base=RLAW049&amp;n=167611&amp;dst=100086" TargetMode = "External"/>
	<Relationship Id="rId136" Type="http://schemas.openxmlformats.org/officeDocument/2006/relationships/hyperlink" Target="https://login.consultant.ru/link/?req=doc&amp;base=RLAW049&amp;n=178952&amp;dst=100028" TargetMode = "External"/>
	<Relationship Id="rId137" Type="http://schemas.openxmlformats.org/officeDocument/2006/relationships/hyperlink" Target="https://login.consultant.ru/link/?req=doc&amp;base=RLAW049&amp;n=159632&amp;dst=100008" TargetMode = "External"/>
	<Relationship Id="rId138" Type="http://schemas.openxmlformats.org/officeDocument/2006/relationships/hyperlink" Target="https://login.consultant.ru/link/?req=doc&amp;base=RLAW049&amp;n=167611&amp;dst=100086" TargetMode = "External"/>
	<Relationship Id="rId139" Type="http://schemas.openxmlformats.org/officeDocument/2006/relationships/hyperlink" Target="https://login.consultant.ru/link/?req=doc&amp;base=RLAW049&amp;n=178952&amp;dst=100029" TargetMode = "External"/>
	<Relationship Id="rId140" Type="http://schemas.openxmlformats.org/officeDocument/2006/relationships/hyperlink" Target="https://login.consultant.ru/link/?req=doc&amp;base=RLAW049&amp;n=179143&amp;dst=100107" TargetMode = "External"/>
	<Relationship Id="rId141" Type="http://schemas.openxmlformats.org/officeDocument/2006/relationships/hyperlink" Target="https://login.consultant.ru/link/?req=doc&amp;base=RLAW049&amp;n=179143&amp;dst=100024" TargetMode = "External"/>
	<Relationship Id="rId142" Type="http://schemas.openxmlformats.org/officeDocument/2006/relationships/hyperlink" Target="https://login.consultant.ru/link/?req=doc&amp;base=RLAW049&amp;n=144827&amp;dst=100153" TargetMode = "External"/>
	<Relationship Id="rId143" Type="http://schemas.openxmlformats.org/officeDocument/2006/relationships/hyperlink" Target="https://login.consultant.ru/link/?req=doc&amp;base=RLAW049&amp;n=144827&amp;dst=100155" TargetMode = "External"/>
	<Relationship Id="rId144" Type="http://schemas.openxmlformats.org/officeDocument/2006/relationships/hyperlink" Target="https://login.consultant.ru/link/?req=doc&amp;base=RLAW049&amp;n=167611&amp;dst=100086" TargetMode = "External"/>
	<Relationship Id="rId145" Type="http://schemas.openxmlformats.org/officeDocument/2006/relationships/hyperlink" Target="https://login.consultant.ru/link/?req=doc&amp;base=RLAW049&amp;n=178952&amp;dst=100033" TargetMode = "External"/>
	<Relationship Id="rId146" Type="http://schemas.openxmlformats.org/officeDocument/2006/relationships/hyperlink" Target="https://login.consultant.ru/link/?req=doc&amp;base=RLAW049&amp;n=144827&amp;dst=100156" TargetMode = "External"/>
	<Relationship Id="rId147" Type="http://schemas.openxmlformats.org/officeDocument/2006/relationships/hyperlink" Target="https://login.consultant.ru/link/?req=doc&amp;base=RLAW049&amp;n=167611&amp;dst=100086" TargetMode = "External"/>
	<Relationship Id="rId148" Type="http://schemas.openxmlformats.org/officeDocument/2006/relationships/hyperlink" Target="https://login.consultant.ru/link/?req=doc&amp;base=RLAW049&amp;n=178952&amp;dst=100036" TargetMode = "External"/>
	<Relationship Id="rId149" Type="http://schemas.openxmlformats.org/officeDocument/2006/relationships/hyperlink" Target="https://login.consultant.ru/link/?req=doc&amp;base=RLAW049&amp;n=167611&amp;dst=100086" TargetMode = "External"/>
	<Relationship Id="rId150" Type="http://schemas.openxmlformats.org/officeDocument/2006/relationships/hyperlink" Target="https://login.consultant.ru/link/?req=doc&amp;base=RLAW049&amp;n=178952&amp;dst=100039" TargetMode = "External"/>
	<Relationship Id="rId151" Type="http://schemas.openxmlformats.org/officeDocument/2006/relationships/hyperlink" Target="https://login.consultant.ru/link/?req=doc&amp;base=RLAW049&amp;n=167611&amp;dst=100086" TargetMode = "External"/>
	<Relationship Id="rId152" Type="http://schemas.openxmlformats.org/officeDocument/2006/relationships/hyperlink" Target="https://login.consultant.ru/link/?req=doc&amp;base=RLAW049&amp;n=178952&amp;dst=100041" TargetMode = "External"/>
	<Relationship Id="rId153" Type="http://schemas.openxmlformats.org/officeDocument/2006/relationships/hyperlink" Target="https://login.consultant.ru/link/?req=doc&amp;base=RLAW049&amp;n=167611&amp;dst=100086" TargetMode = "External"/>
	<Relationship Id="rId154" Type="http://schemas.openxmlformats.org/officeDocument/2006/relationships/hyperlink" Target="https://login.consultant.ru/link/?req=doc&amp;base=RLAW049&amp;n=178952&amp;dst=100042" TargetMode = "External"/>
	<Relationship Id="rId155" Type="http://schemas.openxmlformats.org/officeDocument/2006/relationships/hyperlink" Target="https://login.consultant.ru/link/?req=doc&amp;base=RLAW049&amp;n=178952&amp;dst=100043" TargetMode = "External"/>
	<Relationship Id="rId156" Type="http://schemas.openxmlformats.org/officeDocument/2006/relationships/hyperlink" Target="https://login.consultant.ru/link/?req=doc&amp;base=RLAW049&amp;n=178952&amp;dst=100045" TargetMode = "External"/>
	<Relationship Id="rId157" Type="http://schemas.openxmlformats.org/officeDocument/2006/relationships/hyperlink" Target="https://login.consultant.ru/link/?req=doc&amp;base=RLAW049&amp;n=178952&amp;dst=100046" TargetMode = "External"/>
	<Relationship Id="rId158" Type="http://schemas.openxmlformats.org/officeDocument/2006/relationships/hyperlink" Target="https://login.consultant.ru/link/?req=doc&amp;base=RLAW049&amp;n=167611&amp;dst=100087" TargetMode = "External"/>
	<Relationship Id="rId159" Type="http://schemas.openxmlformats.org/officeDocument/2006/relationships/hyperlink" Target="https://login.consultant.ru/link/?req=doc&amp;base=RLAW049&amp;n=159632&amp;dst=100009" TargetMode = "External"/>
	<Relationship Id="rId160" Type="http://schemas.openxmlformats.org/officeDocument/2006/relationships/hyperlink" Target="https://login.consultant.ru/link/?req=doc&amp;base=RLAW049&amp;n=167611&amp;dst=100102" TargetMode = "External"/>
	<Relationship Id="rId161" Type="http://schemas.openxmlformats.org/officeDocument/2006/relationships/hyperlink" Target="https://login.consultant.ru/link/?req=doc&amp;base=RLAW049&amp;n=178952&amp;dst=100048" TargetMode = "External"/>
	<Relationship Id="rId162" Type="http://schemas.openxmlformats.org/officeDocument/2006/relationships/hyperlink" Target="https://login.consultant.ru/link/?req=doc&amp;base=RLAW049&amp;n=167611&amp;dst=100104" TargetMode = "External"/>
	<Relationship Id="rId163" Type="http://schemas.openxmlformats.org/officeDocument/2006/relationships/hyperlink" Target="https://login.consultant.ru/link/?req=doc&amp;base=RLAW049&amp;n=178952&amp;dst=100049" TargetMode = "External"/>
	<Relationship Id="rId164" Type="http://schemas.openxmlformats.org/officeDocument/2006/relationships/image" Target="media/image2.wmf"/>
	<Relationship Id="rId165" Type="http://schemas.openxmlformats.org/officeDocument/2006/relationships/hyperlink" Target="https://login.consultant.ru/link/?req=doc&amp;base=RLAW049&amp;n=167611&amp;dst=100104" TargetMode = "External"/>
	<Relationship Id="rId166" Type="http://schemas.openxmlformats.org/officeDocument/2006/relationships/hyperlink" Target="https://login.consultant.ru/link/?req=doc&amp;base=RLAW049&amp;n=178952&amp;dst=100050" TargetMode = "External"/>
	<Relationship Id="rId167" Type="http://schemas.openxmlformats.org/officeDocument/2006/relationships/hyperlink" Target="https://login.consultant.ru/link/?req=doc&amp;base=RLAW049&amp;n=138050&amp;dst=100093" TargetMode = "External"/>
	<Relationship Id="rId168" Type="http://schemas.openxmlformats.org/officeDocument/2006/relationships/hyperlink" Target="https://login.consultant.ru/link/?req=doc&amp;base=RLAW049&amp;n=161014&amp;dst=100154" TargetMode = "External"/>
	<Relationship Id="rId169" Type="http://schemas.openxmlformats.org/officeDocument/2006/relationships/hyperlink" Target="https://login.consultant.ru/link/?req=doc&amp;base=RLAW049&amp;n=167611&amp;dst=100104" TargetMode = "External"/>
	<Relationship Id="rId170" Type="http://schemas.openxmlformats.org/officeDocument/2006/relationships/hyperlink" Target="https://login.consultant.ru/link/?req=doc&amp;base=RLAW049&amp;n=178952&amp;dst=100051" TargetMode = "External"/>
	<Relationship Id="rId171" Type="http://schemas.openxmlformats.org/officeDocument/2006/relationships/hyperlink" Target="https://login.consultant.ru/link/?req=doc&amp;base=RLAW049&amp;n=167611&amp;dst=100105" TargetMode = "External"/>
	<Relationship Id="rId172" Type="http://schemas.openxmlformats.org/officeDocument/2006/relationships/hyperlink" Target="https://login.consultant.ru/link/?req=doc&amp;base=RLAW049&amp;n=167611&amp;dst=100106" TargetMode = "External"/>
	<Relationship Id="rId173" Type="http://schemas.openxmlformats.org/officeDocument/2006/relationships/hyperlink" Target="https://login.consultant.ru/link/?req=doc&amp;base=RLAW049&amp;n=178952&amp;dst=100054" TargetMode = "External"/>
	<Relationship Id="rId174" Type="http://schemas.openxmlformats.org/officeDocument/2006/relationships/hyperlink" Target="https://login.consultant.ru/link/?req=doc&amp;base=RLAW049&amp;n=167611&amp;dst=100107" TargetMode = "External"/>
	<Relationship Id="rId175" Type="http://schemas.openxmlformats.org/officeDocument/2006/relationships/hyperlink" Target="https://login.consultant.ru/link/?req=doc&amp;base=RLAW049&amp;n=178952&amp;dst=100055" TargetMode = "External"/>
	<Relationship Id="rId176" Type="http://schemas.openxmlformats.org/officeDocument/2006/relationships/hyperlink" Target="https://login.consultant.ru/link/?req=doc&amp;base=RLAW049&amp;n=140130&amp;dst=100245" TargetMode = "External"/>
	<Relationship Id="rId177" Type="http://schemas.openxmlformats.org/officeDocument/2006/relationships/hyperlink" Target="https://login.consultant.ru/link/?req=doc&amp;base=RLAW049&amp;n=167611&amp;dst=100108" TargetMode = "External"/>
	<Relationship Id="rId178" Type="http://schemas.openxmlformats.org/officeDocument/2006/relationships/hyperlink" Target="https://login.consultant.ru/link/?req=doc&amp;base=RLAW049&amp;n=178952&amp;dst=100056" TargetMode = "External"/>
	<Relationship Id="rId179" Type="http://schemas.openxmlformats.org/officeDocument/2006/relationships/hyperlink" Target="https://login.consultant.ru/link/?req=doc&amp;base=RLAW049&amp;n=167611&amp;dst=100108" TargetMode = "External"/>
	<Relationship Id="rId180" Type="http://schemas.openxmlformats.org/officeDocument/2006/relationships/hyperlink" Target="https://login.consultant.ru/link/?req=doc&amp;base=RLAW049&amp;n=178952&amp;dst=100057" TargetMode = "External"/>
	<Relationship Id="rId181" Type="http://schemas.openxmlformats.org/officeDocument/2006/relationships/hyperlink" Target="https://login.consultant.ru/link/?req=doc&amp;base=RLAW049&amp;n=167611&amp;dst=100108" TargetMode = "External"/>
	<Relationship Id="rId182" Type="http://schemas.openxmlformats.org/officeDocument/2006/relationships/hyperlink" Target="https://login.consultant.ru/link/?req=doc&amp;base=RLAW049&amp;n=178952&amp;dst=100058" TargetMode = "External"/>
	<Relationship Id="rId183" Type="http://schemas.openxmlformats.org/officeDocument/2006/relationships/hyperlink" Target="https://login.consultant.ru/link/?req=doc&amp;base=RLAW049&amp;n=178952&amp;dst=100061" TargetMode = "External"/>
	<Relationship Id="rId184" Type="http://schemas.openxmlformats.org/officeDocument/2006/relationships/hyperlink" Target="https://login.consultant.ru/link/?req=doc&amp;base=RLAW049&amp;n=178952&amp;dst=100063" TargetMode = "External"/>
	<Relationship Id="rId185" Type="http://schemas.openxmlformats.org/officeDocument/2006/relationships/hyperlink" Target="https://login.consultant.ru/link/?req=doc&amp;base=RLAW049&amp;n=178952&amp;dst=100064" TargetMode = "External"/>
	<Relationship Id="rId186" Type="http://schemas.openxmlformats.org/officeDocument/2006/relationships/hyperlink" Target="https://login.consultant.ru/link/?req=doc&amp;base=RLAW049&amp;n=131457&amp;dst=100027" TargetMode = "External"/>
	<Relationship Id="rId187" Type="http://schemas.openxmlformats.org/officeDocument/2006/relationships/hyperlink" Target="https://login.consultant.ru/link/?req=doc&amp;base=RLAW049&amp;n=138050&amp;dst=100094" TargetMode = "External"/>
	<Relationship Id="rId188" Type="http://schemas.openxmlformats.org/officeDocument/2006/relationships/hyperlink" Target="https://login.consultant.ru/link/?req=doc&amp;base=RLAW049&amp;n=140130&amp;dst=100248" TargetMode = "External"/>
	<Relationship Id="rId189" Type="http://schemas.openxmlformats.org/officeDocument/2006/relationships/hyperlink" Target="https://login.consultant.ru/link/?req=doc&amp;base=RLAW049&amp;n=144827&amp;dst=100157" TargetMode = "External"/>
	<Relationship Id="rId190" Type="http://schemas.openxmlformats.org/officeDocument/2006/relationships/hyperlink" Target="https://login.consultant.ru/link/?req=doc&amp;base=RLAW049&amp;n=149450&amp;dst=100349" TargetMode = "External"/>
	<Relationship Id="rId191" Type="http://schemas.openxmlformats.org/officeDocument/2006/relationships/hyperlink" Target="https://login.consultant.ru/link/?req=doc&amp;base=RLAW049&amp;n=156028&amp;dst=100073" TargetMode = "External"/>
	<Relationship Id="rId192" Type="http://schemas.openxmlformats.org/officeDocument/2006/relationships/hyperlink" Target="https://login.consultant.ru/link/?req=doc&amp;base=RLAW049&amp;n=159632&amp;dst=100010" TargetMode = "External"/>
	<Relationship Id="rId193" Type="http://schemas.openxmlformats.org/officeDocument/2006/relationships/hyperlink" Target="https://login.consultant.ru/link/?req=doc&amp;base=RLAW049&amp;n=167611&amp;dst=100110" TargetMode = "External"/>
	<Relationship Id="rId194" Type="http://schemas.openxmlformats.org/officeDocument/2006/relationships/hyperlink" Target="https://login.consultant.ru/link/?req=doc&amp;base=RLAW049&amp;n=178952&amp;dst=100065" TargetMode = "External"/>
	<Relationship Id="rId195" Type="http://schemas.openxmlformats.org/officeDocument/2006/relationships/hyperlink" Target="https://login.consultant.ru/link/?req=doc&amp;base=RLAW049&amp;n=167611&amp;dst=100111" TargetMode = "External"/>
	<Relationship Id="rId196" Type="http://schemas.openxmlformats.org/officeDocument/2006/relationships/hyperlink" Target="https://login.consultant.ru/link/?req=doc&amp;base=RLAW049&amp;n=178952&amp;dst=100067" TargetMode = "External"/>
	<Relationship Id="rId197" Type="http://schemas.openxmlformats.org/officeDocument/2006/relationships/hyperlink" Target="https://login.consultant.ru/link/?req=doc&amp;base=LAW&amp;n=466790&amp;dst=5716" TargetMode = "External"/>
	<Relationship Id="rId198" Type="http://schemas.openxmlformats.org/officeDocument/2006/relationships/hyperlink" Target="https://login.consultant.ru/link/?req=doc&amp;base=RLAW049&amp;n=179279&amp;dst=100016" TargetMode = "External"/>
	<Relationship Id="rId199" Type="http://schemas.openxmlformats.org/officeDocument/2006/relationships/hyperlink" Target="https://login.consultant.ru/link/?req=doc&amp;base=RLAW049&amp;n=178952&amp;dst=100069" TargetMode = "External"/>
	<Relationship Id="rId200" Type="http://schemas.openxmlformats.org/officeDocument/2006/relationships/hyperlink" Target="https://login.consultant.ru/link/?req=doc&amp;base=RLAW049&amp;n=178952&amp;dst=100070" TargetMode = "External"/>
	<Relationship Id="rId201" Type="http://schemas.openxmlformats.org/officeDocument/2006/relationships/hyperlink" Target="https://login.consultant.ru/link/?req=doc&amp;base=RLAW049&amp;n=178952&amp;dst=100071" TargetMode = "External"/>
	<Relationship Id="rId202" Type="http://schemas.openxmlformats.org/officeDocument/2006/relationships/hyperlink" Target="https://login.consultant.ru/link/?req=doc&amp;base=RLAW049&amp;n=167611&amp;dst=100114" TargetMode = "External"/>
	<Relationship Id="rId203" Type="http://schemas.openxmlformats.org/officeDocument/2006/relationships/hyperlink" Target="https://login.consultant.ru/link/?req=doc&amp;base=RLAW049&amp;n=178952&amp;dst=100073" TargetMode = "External"/>
	<Relationship Id="rId204" Type="http://schemas.openxmlformats.org/officeDocument/2006/relationships/hyperlink" Target="https://login.consultant.ru/link/?req=doc&amp;base=RLAW049&amp;n=178952&amp;dst=100075" TargetMode = "External"/>
	<Relationship Id="rId205" Type="http://schemas.openxmlformats.org/officeDocument/2006/relationships/hyperlink" Target="https://login.consultant.ru/link/?req=doc&amp;base=RLAW049&amp;n=178952&amp;dst=100076" TargetMode = "External"/>
	<Relationship Id="rId206" Type="http://schemas.openxmlformats.org/officeDocument/2006/relationships/hyperlink" Target="https://login.consultant.ru/link/?req=doc&amp;base=RLAW049&amp;n=178952&amp;dst=100077" TargetMode = "External"/>
	<Relationship Id="rId207" Type="http://schemas.openxmlformats.org/officeDocument/2006/relationships/hyperlink" Target="https://login.consultant.ru/link/?req=doc&amp;base=RLAW049&amp;n=178952&amp;dst=100078" TargetMode = "External"/>
	<Relationship Id="rId208" Type="http://schemas.openxmlformats.org/officeDocument/2006/relationships/hyperlink" Target="https://login.consultant.ru/link/?req=doc&amp;base=RLAW049&amp;n=178952&amp;dst=100079" TargetMode = "External"/>
	<Relationship Id="rId209" Type="http://schemas.openxmlformats.org/officeDocument/2006/relationships/hyperlink" Target="https://login.consultant.ru/link/?req=doc&amp;base=RLAW049&amp;n=178952&amp;dst=100080" TargetMode = "External"/>
	<Relationship Id="rId210" Type="http://schemas.openxmlformats.org/officeDocument/2006/relationships/hyperlink" Target="https://login.consultant.ru/link/?req=doc&amp;base=RLAW049&amp;n=178952&amp;dst=100081" TargetMode = "External"/>
	<Relationship Id="rId211" Type="http://schemas.openxmlformats.org/officeDocument/2006/relationships/hyperlink" Target="https://login.consultant.ru/link/?req=doc&amp;base=RLAW049&amp;n=178952&amp;dst=100082" TargetMode = "External"/>
	<Relationship Id="rId212" Type="http://schemas.openxmlformats.org/officeDocument/2006/relationships/hyperlink" Target="https://login.consultant.ru/link/?req=doc&amp;base=RLAW049&amp;n=178952&amp;dst=100083" TargetMode = "External"/>
	<Relationship Id="rId213" Type="http://schemas.openxmlformats.org/officeDocument/2006/relationships/hyperlink" Target="https://login.consultant.ru/link/?req=doc&amp;base=RLAW049&amp;n=178952&amp;dst=100084" TargetMode = "External"/>
	<Relationship Id="rId214" Type="http://schemas.openxmlformats.org/officeDocument/2006/relationships/hyperlink" Target="https://login.consultant.ru/link/?req=doc&amp;base=RLAW049&amp;n=159632&amp;dst=100010" TargetMode = "External"/>
	<Relationship Id="rId215" Type="http://schemas.openxmlformats.org/officeDocument/2006/relationships/hyperlink" Target="https://login.consultant.ru/link/?req=doc&amp;base=RLAW049&amp;n=178952&amp;dst=100085" TargetMode = "External"/>
	<Relationship Id="rId216" Type="http://schemas.openxmlformats.org/officeDocument/2006/relationships/hyperlink" Target="https://login.consultant.ru/link/?req=doc&amp;base=RLAW049&amp;n=179143&amp;dst=100107" TargetMode = "External"/>
	<Relationship Id="rId217" Type="http://schemas.openxmlformats.org/officeDocument/2006/relationships/hyperlink" Target="https://login.consultant.ru/link/?req=doc&amp;base=RLAW049&amp;n=179143&amp;dst=100024" TargetMode = "External"/>
	<Relationship Id="rId218" Type="http://schemas.openxmlformats.org/officeDocument/2006/relationships/hyperlink" Target="https://login.consultant.ru/link/?req=doc&amp;base=RLAW049&amp;n=144827&amp;dst=100157" TargetMode = "External"/>
	<Relationship Id="rId219" Type="http://schemas.openxmlformats.org/officeDocument/2006/relationships/hyperlink" Target="https://login.consultant.ru/link/?req=doc&amp;base=RLAW049&amp;n=144827&amp;dst=100159" TargetMode = "External"/>
	<Relationship Id="rId220" Type="http://schemas.openxmlformats.org/officeDocument/2006/relationships/hyperlink" Target="https://login.consultant.ru/link/?req=doc&amp;base=RLAW049&amp;n=178952&amp;dst=100089" TargetMode = "External"/>
	<Relationship Id="rId221" Type="http://schemas.openxmlformats.org/officeDocument/2006/relationships/hyperlink" Target="https://login.consultant.ru/link/?req=doc&amp;base=RLAW049&amp;n=167611&amp;dst=100120" TargetMode = "External"/>
	<Relationship Id="rId222" Type="http://schemas.openxmlformats.org/officeDocument/2006/relationships/hyperlink" Target="https://login.consultant.ru/link/?req=doc&amp;base=RLAW049&amp;n=167611&amp;dst=100136" TargetMode = "External"/>
	<Relationship Id="rId223" Type="http://schemas.openxmlformats.org/officeDocument/2006/relationships/hyperlink" Target="https://login.consultant.ru/link/?req=doc&amp;base=RLAW049&amp;n=178952&amp;dst=100094" TargetMode = "External"/>
	<Relationship Id="rId224" Type="http://schemas.openxmlformats.org/officeDocument/2006/relationships/hyperlink" Target="https://login.consultant.ru/link/?req=doc&amp;base=RLAW049&amp;n=167611&amp;dst=100138" TargetMode = "External"/>
	<Relationship Id="rId225" Type="http://schemas.openxmlformats.org/officeDocument/2006/relationships/hyperlink" Target="https://login.consultant.ru/link/?req=doc&amp;base=RLAW049&amp;n=178952&amp;dst=100098" TargetMode = "External"/>
	<Relationship Id="rId226" Type="http://schemas.openxmlformats.org/officeDocument/2006/relationships/image" Target="media/image3.wmf"/>
	<Relationship Id="rId227" Type="http://schemas.openxmlformats.org/officeDocument/2006/relationships/hyperlink" Target="https://login.consultant.ru/link/?req=doc&amp;base=RLAW049&amp;n=178952&amp;dst=100099" TargetMode = "External"/>
	<Relationship Id="rId228" Type="http://schemas.openxmlformats.org/officeDocument/2006/relationships/hyperlink" Target="https://login.consultant.ru/link/?req=doc&amp;base=RLAW049&amp;n=138050&amp;dst=100094" TargetMode = "External"/>
	<Relationship Id="rId229" Type="http://schemas.openxmlformats.org/officeDocument/2006/relationships/hyperlink" Target="https://login.consultant.ru/link/?req=doc&amp;base=RLAW049&amp;n=178952&amp;dst=100100" TargetMode = "External"/>
	<Relationship Id="rId230" Type="http://schemas.openxmlformats.org/officeDocument/2006/relationships/hyperlink" Target="https://login.consultant.ru/link/?req=doc&amp;base=RLAW049&amp;n=167611&amp;dst=100138" TargetMode = "External"/>
	<Relationship Id="rId231" Type="http://schemas.openxmlformats.org/officeDocument/2006/relationships/hyperlink" Target="https://login.consultant.ru/link/?req=doc&amp;base=RLAW049&amp;n=167611&amp;dst=100139" TargetMode = "External"/>
	<Relationship Id="rId232" Type="http://schemas.openxmlformats.org/officeDocument/2006/relationships/hyperlink" Target="https://login.consultant.ru/link/?req=doc&amp;base=RLAW049&amp;n=178952&amp;dst=100103" TargetMode = "External"/>
	<Relationship Id="rId233" Type="http://schemas.openxmlformats.org/officeDocument/2006/relationships/hyperlink" Target="https://login.consultant.ru/link/?req=doc&amp;base=RLAW049&amp;n=178952&amp;dst=100104" TargetMode = "External"/>
	<Relationship Id="rId234" Type="http://schemas.openxmlformats.org/officeDocument/2006/relationships/hyperlink" Target="https://login.consultant.ru/link/?req=doc&amp;base=RLAW049&amp;n=149450&amp;dst=100349" TargetMode = "External"/>
	<Relationship Id="rId235" Type="http://schemas.openxmlformats.org/officeDocument/2006/relationships/hyperlink" Target="https://login.consultant.ru/link/?req=doc&amp;base=RLAW049&amp;n=167611&amp;dst=100140" TargetMode = "External"/>
	<Relationship Id="rId236" Type="http://schemas.openxmlformats.org/officeDocument/2006/relationships/hyperlink" Target="https://login.consultant.ru/link/?req=doc&amp;base=RLAW049&amp;n=178952&amp;dst=100105" TargetMode = "External"/>
	<Relationship Id="rId237" Type="http://schemas.openxmlformats.org/officeDocument/2006/relationships/hyperlink" Target="https://login.consultant.ru/link/?req=doc&amp;base=RLAW049&amp;n=178952&amp;dst=100106" TargetMode = "External"/>
	<Relationship Id="rId238" Type="http://schemas.openxmlformats.org/officeDocument/2006/relationships/hyperlink" Target="https://login.consultant.ru/link/?req=doc&amp;base=RLAW049&amp;n=178952&amp;dst=100107" TargetMode = "External"/>
	<Relationship Id="rId239" Type="http://schemas.openxmlformats.org/officeDocument/2006/relationships/hyperlink" Target="https://login.consultant.ru/link/?req=doc&amp;base=RLAW049&amp;n=178952&amp;dst=100110" TargetMode = "External"/>
	<Relationship Id="rId240" Type="http://schemas.openxmlformats.org/officeDocument/2006/relationships/hyperlink" Target="https://login.consultant.ru/link/?req=doc&amp;base=RLAW049&amp;n=178952&amp;dst=100112" TargetMode = "External"/>
	<Relationship Id="rId241" Type="http://schemas.openxmlformats.org/officeDocument/2006/relationships/hyperlink" Target="https://login.consultant.ru/link/?req=doc&amp;base=RLAW049&amp;n=121801&amp;dst=100218" TargetMode = "External"/>
	<Relationship Id="rId242" Type="http://schemas.openxmlformats.org/officeDocument/2006/relationships/hyperlink" Target="https://login.consultant.ru/link/?req=doc&amp;base=RLAW049&amp;n=124927&amp;dst=100145" TargetMode = "External"/>
	<Relationship Id="rId243" Type="http://schemas.openxmlformats.org/officeDocument/2006/relationships/hyperlink" Target="https://login.consultant.ru/link/?req=doc&amp;base=RLAW049&amp;n=131457&amp;dst=100028" TargetMode = "External"/>
	<Relationship Id="rId244" Type="http://schemas.openxmlformats.org/officeDocument/2006/relationships/hyperlink" Target="https://login.consultant.ru/link/?req=doc&amp;base=RLAW049&amp;n=140130&amp;dst=100252" TargetMode = "External"/>
	<Relationship Id="rId245" Type="http://schemas.openxmlformats.org/officeDocument/2006/relationships/hyperlink" Target="https://login.consultant.ru/link/?req=doc&amp;base=RLAW049&amp;n=144827&amp;dst=100160" TargetMode = "External"/>
	<Relationship Id="rId246" Type="http://schemas.openxmlformats.org/officeDocument/2006/relationships/hyperlink" Target="https://login.consultant.ru/link/?req=doc&amp;base=RLAW049&amp;n=161768&amp;dst=100007" TargetMode = "External"/>
	<Relationship Id="rId247" Type="http://schemas.openxmlformats.org/officeDocument/2006/relationships/hyperlink" Target="https://login.consultant.ru/link/?req=doc&amp;base=RLAW049&amp;n=167611&amp;dst=100141" TargetMode = "External"/>
	<Relationship Id="rId248" Type="http://schemas.openxmlformats.org/officeDocument/2006/relationships/hyperlink" Target="https://login.consultant.ru/link/?req=doc&amp;base=RLAW049&amp;n=174396&amp;dst=100013" TargetMode = "External"/>
	<Relationship Id="rId249" Type="http://schemas.openxmlformats.org/officeDocument/2006/relationships/hyperlink" Target="https://login.consultant.ru/link/?req=doc&amp;base=RLAW049&amp;n=178952&amp;dst=100113" TargetMode = "External"/>
	<Relationship Id="rId250" Type="http://schemas.openxmlformats.org/officeDocument/2006/relationships/hyperlink" Target="https://login.consultant.ru/link/?req=doc&amp;base=LAW&amp;n=466790" TargetMode = "External"/>
	<Relationship Id="rId251" Type="http://schemas.openxmlformats.org/officeDocument/2006/relationships/hyperlink" Target="https://login.consultant.ru/link/?req=doc&amp;base=LAW&amp;n=466154" TargetMode = "External"/>
	<Relationship Id="rId252" Type="http://schemas.openxmlformats.org/officeDocument/2006/relationships/hyperlink" Target="https://login.consultant.ru/link/?req=doc&amp;base=LAW&amp;n=466154" TargetMode = "External"/>
	<Relationship Id="rId253" Type="http://schemas.openxmlformats.org/officeDocument/2006/relationships/hyperlink" Target="https://login.consultant.ru/link/?req=doc&amp;base=RLAW049&amp;n=165360&amp;dst=100012" TargetMode = "External"/>
	<Relationship Id="rId254" Type="http://schemas.openxmlformats.org/officeDocument/2006/relationships/hyperlink" Target="https://login.consultant.ru/link/?req=doc&amp;base=RLAW049&amp;n=161768&amp;dst=100007" TargetMode = "External"/>
	<Relationship Id="rId255" Type="http://schemas.openxmlformats.org/officeDocument/2006/relationships/hyperlink" Target="https://login.consultant.ru/link/?req=doc&amp;base=RLAW049&amp;n=131457&amp;dst=100030" TargetMode = "External"/>
	<Relationship Id="rId256" Type="http://schemas.openxmlformats.org/officeDocument/2006/relationships/hyperlink" Target="https://login.consultant.ru/link/?req=doc&amp;base=RLAW049&amp;n=167611&amp;dst=100142" TargetMode = "External"/>
	<Relationship Id="rId257" Type="http://schemas.openxmlformats.org/officeDocument/2006/relationships/hyperlink" Target="https://login.consultant.ru/link/?req=doc&amp;base=RLAW049&amp;n=178952&amp;dst=100115" TargetMode = "External"/>
	<Relationship Id="rId258" Type="http://schemas.openxmlformats.org/officeDocument/2006/relationships/hyperlink" Target="https://login.consultant.ru/link/?req=doc&amp;base=RLAW049&amp;n=131457&amp;dst=100032" TargetMode = "External"/>
	<Relationship Id="rId259" Type="http://schemas.openxmlformats.org/officeDocument/2006/relationships/hyperlink" Target="https://login.consultant.ru/link/?req=doc&amp;base=RLAW049&amp;n=167611&amp;dst=100145" TargetMode = "External"/>
	<Relationship Id="rId260" Type="http://schemas.openxmlformats.org/officeDocument/2006/relationships/hyperlink" Target="https://login.consultant.ru/link/?req=doc&amp;base=RLAW049&amp;n=178952&amp;dst=100116" TargetMode = "External"/>
	<Relationship Id="rId261" Type="http://schemas.openxmlformats.org/officeDocument/2006/relationships/hyperlink" Target="https://login.consultant.ru/link/?req=doc&amp;base=RLAW049&amp;n=140130&amp;dst=100252" TargetMode = "External"/>
	<Relationship Id="rId262" Type="http://schemas.openxmlformats.org/officeDocument/2006/relationships/hyperlink" Target="https://login.consultant.ru/link/?req=doc&amp;base=RLAW049&amp;n=174396&amp;dst=100015" TargetMode = "External"/>
	<Relationship Id="rId263" Type="http://schemas.openxmlformats.org/officeDocument/2006/relationships/hyperlink" Target="https://login.consultant.ru/link/?req=doc&amp;base=RLAW049&amp;n=174396&amp;dst=100016" TargetMode = "External"/>
	<Relationship Id="rId264" Type="http://schemas.openxmlformats.org/officeDocument/2006/relationships/hyperlink" Target="https://login.consultant.ru/link/?req=doc&amp;base=RLAW049&amp;n=144827&amp;dst=100160" TargetMode = "External"/>
	<Relationship Id="rId265" Type="http://schemas.openxmlformats.org/officeDocument/2006/relationships/hyperlink" Target="https://login.consultant.ru/link/?req=doc&amp;base=RLAW049&amp;n=174396&amp;dst=100017" TargetMode = "External"/>
	<Relationship Id="rId266" Type="http://schemas.openxmlformats.org/officeDocument/2006/relationships/hyperlink" Target="https://login.consultant.ru/link/?req=doc&amp;base=RLAW049&amp;n=181970&amp;dst=100017" TargetMode = "External"/>
	<Relationship Id="rId267" Type="http://schemas.openxmlformats.org/officeDocument/2006/relationships/hyperlink" Target="https://login.consultant.ru/link/?req=doc&amp;base=RLAW049&amp;n=131457&amp;dst=100034" TargetMode = "External"/>
	<Relationship Id="rId268" Type="http://schemas.openxmlformats.org/officeDocument/2006/relationships/hyperlink" Target="https://login.consultant.ru/link/?req=doc&amp;base=RLAW049&amp;n=140130&amp;dst=100253" TargetMode = "External"/>
	<Relationship Id="rId269" Type="http://schemas.openxmlformats.org/officeDocument/2006/relationships/hyperlink" Target="https://login.consultant.ru/link/?req=doc&amp;base=RLAW049&amp;n=174396&amp;dst=100018" TargetMode = "External"/>
	<Relationship Id="rId270" Type="http://schemas.openxmlformats.org/officeDocument/2006/relationships/hyperlink" Target="https://login.consultant.ru/link/?req=doc&amp;base=RLAW049&amp;n=180335&amp;dst=100006" TargetMode = "External"/>
	<Relationship Id="rId271" Type="http://schemas.openxmlformats.org/officeDocument/2006/relationships/hyperlink" Target="https://login.consultant.ru/link/?req=doc&amp;base=LAW&amp;n=466790&amp;dst=7460" TargetMode = "External"/>
	<Relationship Id="rId272" Type="http://schemas.openxmlformats.org/officeDocument/2006/relationships/hyperlink" Target="https://login.consultant.ru/link/?req=doc&amp;base=LAW&amp;n=493282&amp;dst=585" TargetMode = "External"/>
	<Relationship Id="rId273" Type="http://schemas.openxmlformats.org/officeDocument/2006/relationships/hyperlink" Target="https://login.consultant.ru/link/?req=doc&amp;base=LAW&amp;n=490805&amp;dst=100029" TargetMode = "External"/>
	<Relationship Id="rId274" Type="http://schemas.openxmlformats.org/officeDocument/2006/relationships/hyperlink" Target="https://login.consultant.ru/link/?req=doc&amp;base=RLAW049&amp;n=179200&amp;dst=100081" TargetMode = "External"/>
	<Relationship Id="rId275" Type="http://schemas.openxmlformats.org/officeDocument/2006/relationships/hyperlink" Target="https://login.consultant.ru/link/?req=doc&amp;base=LAW&amp;n=493282" TargetMode = "External"/>
	<Relationship Id="rId276" Type="http://schemas.openxmlformats.org/officeDocument/2006/relationships/hyperlink" Target="https://login.consultant.ru/link/?req=doc&amp;base=RLAW049&amp;n=179200" TargetMode = "External"/>
	<Relationship Id="rId277" Type="http://schemas.openxmlformats.org/officeDocument/2006/relationships/hyperlink" Target="https://login.consultant.ru/link/?req=doc&amp;base=RLAW049&amp;n=180335&amp;dst=100008" TargetMode = "External"/>
	<Relationship Id="rId278" Type="http://schemas.openxmlformats.org/officeDocument/2006/relationships/hyperlink" Target="https://login.consultant.ru/link/?req=doc&amp;base=RLAW049&amp;n=180335&amp;dst=100010" TargetMode = "External"/>
	<Relationship Id="rId279" Type="http://schemas.openxmlformats.org/officeDocument/2006/relationships/hyperlink" Target="https://login.consultant.ru/link/?req=doc&amp;base=RLAW049&amp;n=180335&amp;dst=100012" TargetMode = "External"/>
	<Relationship Id="rId280" Type="http://schemas.openxmlformats.org/officeDocument/2006/relationships/hyperlink" Target="https://login.consultant.ru/link/?req=doc&amp;base=RLAW049&amp;n=180335&amp;dst=100013" TargetMode = "External"/>
	<Relationship Id="rId281" Type="http://schemas.openxmlformats.org/officeDocument/2006/relationships/hyperlink" Target="https://login.consultant.ru/link/?req=doc&amp;base=RLAW049&amp;n=180335&amp;dst=100016" TargetMode = "External"/>
	<Relationship Id="rId282" Type="http://schemas.openxmlformats.org/officeDocument/2006/relationships/hyperlink" Target="https://login.consultant.ru/link/?req=doc&amp;base=RLAW049&amp;n=180335&amp;dst=100016" TargetMode = "External"/>
	<Relationship Id="rId283" Type="http://schemas.openxmlformats.org/officeDocument/2006/relationships/hyperlink" Target="https://login.consultant.ru/link/?req=doc&amp;base=RLAW049&amp;n=180335&amp;dst=100016" TargetMode = "External"/>
	<Relationship Id="rId284" Type="http://schemas.openxmlformats.org/officeDocument/2006/relationships/hyperlink" Target="https://login.consultant.ru/link/?req=doc&amp;base=RLAW049&amp;n=180335&amp;dst=100017" TargetMode = "External"/>
	<Relationship Id="rId285" Type="http://schemas.openxmlformats.org/officeDocument/2006/relationships/hyperlink" Target="https://login.consultant.ru/link/?req=doc&amp;base=RLAW049&amp;n=180335&amp;dst=100019" TargetMode = "External"/>
	<Relationship Id="rId286" Type="http://schemas.openxmlformats.org/officeDocument/2006/relationships/hyperlink" Target="https://login.consultant.ru/link/?req=doc&amp;base=RLAW049&amp;n=180335&amp;dst=100020" TargetMode = "External"/>
	<Relationship Id="rId287" Type="http://schemas.openxmlformats.org/officeDocument/2006/relationships/hyperlink" Target="https://login.consultant.ru/link/?req=doc&amp;base=RLAW049&amp;n=180335&amp;dst=100021" TargetMode = "External"/>
	<Relationship Id="rId288" Type="http://schemas.openxmlformats.org/officeDocument/2006/relationships/hyperlink" Target="https://login.consultant.ru/link/?req=doc&amp;base=RLAW049&amp;n=180335&amp;dst=100023" TargetMode = "External"/>
	<Relationship Id="rId289" Type="http://schemas.openxmlformats.org/officeDocument/2006/relationships/hyperlink" Target="https://login.consultant.ru/link/?req=doc&amp;base=RLAW049&amp;n=180335&amp;dst=100024" TargetMode = "External"/>
	<Relationship Id="rId290" Type="http://schemas.openxmlformats.org/officeDocument/2006/relationships/hyperlink" Target="https://login.consultant.ru/link/?req=doc&amp;base=RLAW049&amp;n=180335&amp;dst=100026" TargetMode = "External"/>
	<Relationship Id="rId291" Type="http://schemas.openxmlformats.org/officeDocument/2006/relationships/hyperlink" Target="https://login.consultant.ru/link/?req=doc&amp;base=LAW&amp;n=482692&amp;dst=101922" TargetMode = "External"/>
	<Relationship Id="rId292" Type="http://schemas.openxmlformats.org/officeDocument/2006/relationships/hyperlink" Target="https://login.consultant.ru/link/?req=doc&amp;base=RLAW049&amp;n=180335&amp;dst=100027" TargetMode = "External"/>
	<Relationship Id="rId293" Type="http://schemas.openxmlformats.org/officeDocument/2006/relationships/hyperlink" Target="https://login.consultant.ru/link/?req=doc&amp;base=RLAW049&amp;n=180335&amp;dst=100029" TargetMode = "External"/>
	<Relationship Id="rId294" Type="http://schemas.openxmlformats.org/officeDocument/2006/relationships/hyperlink" Target="https://login.consultant.ru/link/?req=doc&amp;base=RLAW049&amp;n=180335&amp;dst=100031" TargetMode = "External"/>
	<Relationship Id="rId295" Type="http://schemas.openxmlformats.org/officeDocument/2006/relationships/hyperlink" Target="https://login.consultant.ru/link/?req=doc&amp;base=RLAW049&amp;n=180335&amp;dst=100032" TargetMode = "External"/>
	<Relationship Id="rId296" Type="http://schemas.openxmlformats.org/officeDocument/2006/relationships/hyperlink" Target="https://login.consultant.ru/link/?req=doc&amp;base=RLAW049&amp;n=180335&amp;dst=100033" TargetMode = "External"/>
	<Relationship Id="rId297" Type="http://schemas.openxmlformats.org/officeDocument/2006/relationships/hyperlink" Target="https://login.consultant.ru/link/?req=doc&amp;base=RLAW049&amp;n=180335&amp;dst=100034" TargetMode = "External"/>
	<Relationship Id="rId298" Type="http://schemas.openxmlformats.org/officeDocument/2006/relationships/hyperlink" Target="https://login.consultant.ru/link/?req=doc&amp;base=RLAW049&amp;n=180335&amp;dst=100036" TargetMode = "External"/>
	<Relationship Id="rId299" Type="http://schemas.openxmlformats.org/officeDocument/2006/relationships/hyperlink" Target="https://login.consultant.ru/link/?req=doc&amp;base=LAW&amp;n=121087&amp;dst=100142" TargetMode = "External"/>
	<Relationship Id="rId300" Type="http://schemas.openxmlformats.org/officeDocument/2006/relationships/hyperlink" Target="https://login.consultant.ru/link/?req=doc&amp;base=LAW&amp;n=494968" TargetMode = "External"/>
	<Relationship Id="rId301" Type="http://schemas.openxmlformats.org/officeDocument/2006/relationships/hyperlink" Target="https://login.consultant.ru/link/?req=doc&amp;base=LAW&amp;n=483130&amp;dst=5769" TargetMode = "External"/>
	<Relationship Id="rId302" Type="http://schemas.openxmlformats.org/officeDocument/2006/relationships/hyperlink" Target="https://login.consultant.ru/link/?req=doc&amp;base=LAW&amp;n=175140" TargetMode = "External"/>
	<Relationship Id="rId303" Type="http://schemas.openxmlformats.org/officeDocument/2006/relationships/hyperlink" Target="https://login.consultant.ru/link/?req=doc&amp;base=RLAW049&amp;n=180335&amp;dst=100042" TargetMode = "External"/>
	<Relationship Id="rId304" Type="http://schemas.openxmlformats.org/officeDocument/2006/relationships/hyperlink" Target="https://login.consultant.ru/link/?req=doc&amp;base=RLAW049&amp;n=180335&amp;dst=100054" TargetMode = "External"/>
	<Relationship Id="rId305" Type="http://schemas.openxmlformats.org/officeDocument/2006/relationships/hyperlink" Target="https://login.consultant.ru/link/?req=doc&amp;base=RLAW049&amp;n=180335&amp;dst=100055" TargetMode = "External"/>
	<Relationship Id="rId306" Type="http://schemas.openxmlformats.org/officeDocument/2006/relationships/hyperlink" Target="https://login.consultant.ru/link/?req=doc&amp;base=RLAW049&amp;n=180335&amp;dst=100056" TargetMode = "External"/>
	<Relationship Id="rId307" Type="http://schemas.openxmlformats.org/officeDocument/2006/relationships/hyperlink" Target="https://login.consultant.ru/link/?req=doc&amp;base=RLAW049&amp;n=180335&amp;dst=100062" TargetMode = "External"/>
	<Relationship Id="rId308" Type="http://schemas.openxmlformats.org/officeDocument/2006/relationships/hyperlink" Target="https://login.consultant.ru/link/?req=doc&amp;base=RLAW049&amp;n=180335&amp;dst=100066" TargetMode = "External"/>
	<Relationship Id="rId309" Type="http://schemas.openxmlformats.org/officeDocument/2006/relationships/hyperlink" Target="https://login.consultant.ru/link/?req=doc&amp;base=RLAW049&amp;n=180335&amp;dst=100068" TargetMode = "External"/>
	<Relationship Id="rId310" Type="http://schemas.openxmlformats.org/officeDocument/2006/relationships/hyperlink" Target="https://login.consultant.ru/link/?req=doc&amp;base=RLAW049&amp;n=180335&amp;dst=100072" TargetMode = "External"/>
	<Relationship Id="rId311" Type="http://schemas.openxmlformats.org/officeDocument/2006/relationships/hyperlink" Target="https://login.consultant.ru/link/?req=doc&amp;base=RLAW049&amp;n=180335&amp;dst=100073" TargetMode = "External"/>
	<Relationship Id="rId312" Type="http://schemas.openxmlformats.org/officeDocument/2006/relationships/hyperlink" Target="https://login.consultant.ru/link/?req=doc&amp;base=RLAW049&amp;n=180335&amp;dst=100074" TargetMode = "External"/>
	<Relationship Id="rId313" Type="http://schemas.openxmlformats.org/officeDocument/2006/relationships/hyperlink" Target="https://login.consultant.ru/link/?req=doc&amp;base=RLAW049&amp;n=180335&amp;dst=100076" TargetMode = "External"/>
	<Relationship Id="rId314" Type="http://schemas.openxmlformats.org/officeDocument/2006/relationships/hyperlink" Target="https://login.consultant.ru/link/?req=doc&amp;base=RLAW049&amp;n=180335&amp;dst=100077" TargetMode = "External"/>
	<Relationship Id="rId315" Type="http://schemas.openxmlformats.org/officeDocument/2006/relationships/hyperlink" Target="https://login.consultant.ru/link/?req=doc&amp;base=RLAW049&amp;n=180335&amp;dst=100077" TargetMode = "External"/>
	<Relationship Id="rId316" Type="http://schemas.openxmlformats.org/officeDocument/2006/relationships/hyperlink" Target="https://login.consultant.ru/link/?req=doc&amp;base=RLAW049&amp;n=180335&amp;dst=100078" TargetMode = "External"/>
	<Relationship Id="rId317" Type="http://schemas.openxmlformats.org/officeDocument/2006/relationships/hyperlink" Target="https://login.consultant.ru/link/?req=doc&amp;base=RLAW049&amp;n=180335&amp;dst=100079" TargetMode = "External"/>
	<Relationship Id="rId318" Type="http://schemas.openxmlformats.org/officeDocument/2006/relationships/hyperlink" Target="https://login.consultant.ru/link/?req=doc&amp;base=RLAW049&amp;n=180335&amp;dst=100081" TargetMode = "External"/>
	<Relationship Id="rId319" Type="http://schemas.openxmlformats.org/officeDocument/2006/relationships/hyperlink" Target="https://login.consultant.ru/link/?req=doc&amp;base=RLAW049&amp;n=180335&amp;dst=100082" TargetMode = "External"/>
	<Relationship Id="rId320" Type="http://schemas.openxmlformats.org/officeDocument/2006/relationships/hyperlink" Target="https://login.consultant.ru/link/?req=doc&amp;base=RLAW049&amp;n=180335&amp;dst=100083" TargetMode = "External"/>
	<Relationship Id="rId321" Type="http://schemas.openxmlformats.org/officeDocument/2006/relationships/hyperlink" Target="https://login.consultant.ru/link/?req=doc&amp;base=RLAW049&amp;n=180335&amp;dst=100085" TargetMode = "External"/>
	<Relationship Id="rId322" Type="http://schemas.openxmlformats.org/officeDocument/2006/relationships/hyperlink" Target="https://login.consultant.ru/link/?req=doc&amp;base=RLAW049&amp;n=180335&amp;dst=100086" TargetMode = "External"/>
	<Relationship Id="rId323" Type="http://schemas.openxmlformats.org/officeDocument/2006/relationships/hyperlink" Target="https://login.consultant.ru/link/?req=doc&amp;base=RLAW049&amp;n=180335&amp;dst=100088" TargetMode = "External"/>
	<Relationship Id="rId324" Type="http://schemas.openxmlformats.org/officeDocument/2006/relationships/hyperlink" Target="https://login.consultant.ru/link/?req=doc&amp;base=RLAW049&amp;n=180335&amp;dst=100089" TargetMode = "External"/>
	<Relationship Id="rId325" Type="http://schemas.openxmlformats.org/officeDocument/2006/relationships/hyperlink" Target="https://login.consultant.ru/link/?req=doc&amp;base=RLAW049&amp;n=180335&amp;dst=100090" TargetMode = "External"/>
	<Relationship Id="rId326" Type="http://schemas.openxmlformats.org/officeDocument/2006/relationships/hyperlink" Target="https://login.consultant.ru/link/?req=doc&amp;base=RLAW049&amp;n=180335&amp;dst=100092" TargetMode = "External"/>
	<Relationship Id="rId327" Type="http://schemas.openxmlformats.org/officeDocument/2006/relationships/hyperlink" Target="https://login.consultant.ru/link/?req=doc&amp;base=RLAW049&amp;n=180335&amp;dst=100093" TargetMode = "External"/>
	<Relationship Id="rId328" Type="http://schemas.openxmlformats.org/officeDocument/2006/relationships/hyperlink" Target="https://login.consultant.ru/link/?req=doc&amp;base=RLAW049&amp;n=180335&amp;dst=100095" TargetMode = "External"/>
	<Relationship Id="rId329" Type="http://schemas.openxmlformats.org/officeDocument/2006/relationships/hyperlink" Target="https://login.consultant.ru/link/?req=doc&amp;base=RLAW049&amp;n=180335&amp;dst=100096" TargetMode = "External"/>
	<Relationship Id="rId330" Type="http://schemas.openxmlformats.org/officeDocument/2006/relationships/hyperlink" Target="https://login.consultant.ru/link/?req=doc&amp;base=RLAW049&amp;n=180335&amp;dst=100097" TargetMode = "External"/>
	<Relationship Id="rId331" Type="http://schemas.openxmlformats.org/officeDocument/2006/relationships/hyperlink" Target="https://login.consultant.ru/link/?req=doc&amp;base=RLAW049&amp;n=180335&amp;dst=100099" TargetMode = "External"/>
	<Relationship Id="rId332" Type="http://schemas.openxmlformats.org/officeDocument/2006/relationships/hyperlink" Target="https://login.consultant.ru/link/?req=doc&amp;base=RLAW049&amp;n=180335&amp;dst=100101" TargetMode = "External"/>
	<Relationship Id="rId333" Type="http://schemas.openxmlformats.org/officeDocument/2006/relationships/hyperlink" Target="https://login.consultant.ru/link/?req=doc&amp;base=LAW&amp;n=466790&amp;dst=3704" TargetMode = "External"/>
	<Relationship Id="rId334" Type="http://schemas.openxmlformats.org/officeDocument/2006/relationships/hyperlink" Target="https://login.consultant.ru/link/?req=doc&amp;base=LAW&amp;n=466790&amp;dst=3722" TargetMode = "External"/>
	<Relationship Id="rId335" Type="http://schemas.openxmlformats.org/officeDocument/2006/relationships/hyperlink" Target="https://login.consultant.ru/link/?req=doc&amp;base=LAW&amp;n=175140" TargetMode = "External"/>
	<Relationship Id="rId336" Type="http://schemas.openxmlformats.org/officeDocument/2006/relationships/hyperlink" Target="https://login.consultant.ru/link/?req=doc&amp;base=RLAW049&amp;n=180335&amp;dst=100102" TargetMode = "External"/>
	<Relationship Id="rId337" Type="http://schemas.openxmlformats.org/officeDocument/2006/relationships/hyperlink" Target="https://login.consultant.ru/link/?req=doc&amp;base=RLAW049&amp;n=180335&amp;dst=100106" TargetMode = "External"/>
	<Relationship Id="rId338" Type="http://schemas.openxmlformats.org/officeDocument/2006/relationships/hyperlink" Target="https://login.consultant.ru/link/?req=doc&amp;base=RLAW049&amp;n=180335&amp;dst=100108" TargetMode = "External"/>
	<Relationship Id="rId339" Type="http://schemas.openxmlformats.org/officeDocument/2006/relationships/hyperlink" Target="https://login.consultant.ru/link/?req=doc&amp;base=RLAW049&amp;n=180335&amp;dst=100109" TargetMode = "External"/>
	<Relationship Id="rId340" Type="http://schemas.openxmlformats.org/officeDocument/2006/relationships/hyperlink" Target="https://login.consultant.ru/link/?req=doc&amp;base=LAW&amp;n=466790&amp;dst=3704" TargetMode = "External"/>
	<Relationship Id="rId341" Type="http://schemas.openxmlformats.org/officeDocument/2006/relationships/hyperlink" Target="https://login.consultant.ru/link/?req=doc&amp;base=LAW&amp;n=466790&amp;dst=3722" TargetMode = "External"/>
	<Relationship Id="rId342" Type="http://schemas.openxmlformats.org/officeDocument/2006/relationships/hyperlink" Target="https://login.consultant.ru/link/?req=doc&amp;base=RLAW049&amp;n=180335&amp;dst=100109" TargetMode = "External"/>
	<Relationship Id="rId343" Type="http://schemas.openxmlformats.org/officeDocument/2006/relationships/hyperlink" Target="https://login.consultant.ru/link/?req=doc&amp;base=RLAW049&amp;n=180335&amp;dst=100111" TargetMode = "External"/>
	<Relationship Id="rId344" Type="http://schemas.openxmlformats.org/officeDocument/2006/relationships/hyperlink" Target="https://login.consultant.ru/link/?req=doc&amp;base=RLAW049&amp;n=180335&amp;dst=100112" TargetMode = "External"/>
	<Relationship Id="rId345" Type="http://schemas.openxmlformats.org/officeDocument/2006/relationships/hyperlink" Target="https://login.consultant.ru/link/?req=doc&amp;base=RLAW049&amp;n=180335&amp;dst=100114" TargetMode = "External"/>
	<Relationship Id="rId346" Type="http://schemas.openxmlformats.org/officeDocument/2006/relationships/hyperlink" Target="https://login.consultant.ru/link/?req=doc&amp;base=RLAW049&amp;n=180335&amp;dst=100115" TargetMode = "External"/>
	<Relationship Id="rId347" Type="http://schemas.openxmlformats.org/officeDocument/2006/relationships/hyperlink" Target="https://login.consultant.ru/link/?req=doc&amp;base=RLAW049&amp;n=180335&amp;dst=100116" TargetMode = "External"/>
	<Relationship Id="rId348" Type="http://schemas.openxmlformats.org/officeDocument/2006/relationships/hyperlink" Target="https://login.consultant.ru/link/?req=doc&amp;base=RLAW049&amp;n=180335&amp;dst=100117" TargetMode = "External"/>
	<Relationship Id="rId349" Type="http://schemas.openxmlformats.org/officeDocument/2006/relationships/hyperlink" Target="https://login.consultant.ru/link/?req=doc&amp;base=RLAW049&amp;n=180335&amp;dst=100118" TargetMode = "External"/>
	<Relationship Id="rId350" Type="http://schemas.openxmlformats.org/officeDocument/2006/relationships/hyperlink" Target="https://login.consultant.ru/link/?req=doc&amp;base=RLAW049&amp;n=180335&amp;dst=100119" TargetMode = "External"/>
	<Relationship Id="rId351" Type="http://schemas.openxmlformats.org/officeDocument/2006/relationships/hyperlink" Target="https://login.consultant.ru/link/?req=doc&amp;base=RLAW049&amp;n=180335&amp;dst=100120" TargetMode = "External"/>
	<Relationship Id="rId352" Type="http://schemas.openxmlformats.org/officeDocument/2006/relationships/image" Target="media/image4.wmf"/>
	<Relationship Id="rId353" Type="http://schemas.openxmlformats.org/officeDocument/2006/relationships/hyperlink" Target="https://login.consultant.ru/link/?req=doc&amp;base=RLAW049&amp;n=180335&amp;dst=100121" TargetMode = "External"/>
	<Relationship Id="rId354" Type="http://schemas.openxmlformats.org/officeDocument/2006/relationships/hyperlink" Target="https://login.consultant.ru/link/?req=doc&amp;base=RLAW049&amp;n=180335&amp;dst=100122" TargetMode = "External"/>
	<Relationship Id="rId355" Type="http://schemas.openxmlformats.org/officeDocument/2006/relationships/hyperlink" Target="https://login.consultant.ru/link/?req=doc&amp;base=RLAW049&amp;n=180335&amp;dst=100123" TargetMode = "External"/>
	<Relationship Id="rId356" Type="http://schemas.openxmlformats.org/officeDocument/2006/relationships/hyperlink" Target="https://login.consultant.ru/link/?req=doc&amp;base=RLAW049&amp;n=180335&amp;dst=100124" TargetMode = "External"/>
	<Relationship Id="rId357" Type="http://schemas.openxmlformats.org/officeDocument/2006/relationships/hyperlink" Target="https://login.consultant.ru/link/?req=doc&amp;base=RLAW049&amp;n=174396&amp;dst=100019" TargetMode = "External"/>
	<Relationship Id="rId358" Type="http://schemas.openxmlformats.org/officeDocument/2006/relationships/hyperlink" Target="https://login.consultant.ru/link/?req=doc&amp;base=RLAW049&amp;n=180335&amp;dst=100125" TargetMode = "External"/>
	<Relationship Id="rId359" Type="http://schemas.openxmlformats.org/officeDocument/2006/relationships/hyperlink" Target="https://login.consultant.ru/link/?req=doc&amp;base=LAW&amp;n=466790&amp;dst=7461" TargetMode = "External"/>
	<Relationship Id="rId360" Type="http://schemas.openxmlformats.org/officeDocument/2006/relationships/hyperlink" Target="https://login.consultant.ru/link/?req=doc&amp;base=LAW&amp;n=493282&amp;dst=585" TargetMode = "External"/>
	<Relationship Id="rId361" Type="http://schemas.openxmlformats.org/officeDocument/2006/relationships/hyperlink" Target="https://login.consultant.ru/link/?req=doc&amp;base=LAW&amp;n=490805&amp;dst=100029" TargetMode = "External"/>
	<Relationship Id="rId362" Type="http://schemas.openxmlformats.org/officeDocument/2006/relationships/hyperlink" Target="https://login.consultant.ru/link/?req=doc&amp;base=RLAW049&amp;n=179200&amp;dst=100081" TargetMode = "External"/>
	<Relationship Id="rId363" Type="http://schemas.openxmlformats.org/officeDocument/2006/relationships/hyperlink" Target="https://login.consultant.ru/link/?req=doc&amp;base=LAW&amp;n=493282" TargetMode = "External"/>
	<Relationship Id="rId364" Type="http://schemas.openxmlformats.org/officeDocument/2006/relationships/hyperlink" Target="https://login.consultant.ru/link/?req=doc&amp;base=RLAW049&amp;n=179200" TargetMode = "External"/>
	<Relationship Id="rId365" Type="http://schemas.openxmlformats.org/officeDocument/2006/relationships/hyperlink" Target="https://login.consultant.ru/link/?req=doc&amp;base=RLAW049&amp;n=180335&amp;dst=100127" TargetMode = "External"/>
	<Relationship Id="rId366" Type="http://schemas.openxmlformats.org/officeDocument/2006/relationships/hyperlink" Target="https://login.consultant.ru/link/?req=doc&amp;base=RLAW049&amp;n=180335&amp;dst=100129" TargetMode = "External"/>
	<Relationship Id="rId367" Type="http://schemas.openxmlformats.org/officeDocument/2006/relationships/hyperlink" Target="https://login.consultant.ru/link/?req=doc&amp;base=RLAW049&amp;n=180335&amp;dst=100131" TargetMode = "External"/>
	<Relationship Id="rId368" Type="http://schemas.openxmlformats.org/officeDocument/2006/relationships/hyperlink" Target="https://login.consultant.ru/link/?req=doc&amp;base=RLAW049&amp;n=180335&amp;dst=100132" TargetMode = "External"/>
	<Relationship Id="rId369" Type="http://schemas.openxmlformats.org/officeDocument/2006/relationships/hyperlink" Target="https://login.consultant.ru/link/?req=doc&amp;base=RLAW049&amp;n=180335&amp;dst=100135" TargetMode = "External"/>
	<Relationship Id="rId370" Type="http://schemas.openxmlformats.org/officeDocument/2006/relationships/hyperlink" Target="https://login.consultant.ru/link/?req=doc&amp;base=RLAW049&amp;n=180335&amp;dst=100137" TargetMode = "External"/>
	<Relationship Id="rId371" Type="http://schemas.openxmlformats.org/officeDocument/2006/relationships/hyperlink" Target="https://login.consultant.ru/link/?req=doc&amp;base=RLAW049&amp;n=180335&amp;dst=100137" TargetMode = "External"/>
	<Relationship Id="rId372" Type="http://schemas.openxmlformats.org/officeDocument/2006/relationships/hyperlink" Target="https://login.consultant.ru/link/?req=doc&amp;base=RLAW049&amp;n=180335&amp;dst=100138" TargetMode = "External"/>
	<Relationship Id="rId373" Type="http://schemas.openxmlformats.org/officeDocument/2006/relationships/hyperlink" Target="https://login.consultant.ru/link/?req=doc&amp;base=RLAW049&amp;n=180335&amp;dst=100140" TargetMode = "External"/>
	<Relationship Id="rId374" Type="http://schemas.openxmlformats.org/officeDocument/2006/relationships/hyperlink" Target="https://login.consultant.ru/link/?req=doc&amp;base=RLAW049&amp;n=180335&amp;dst=100141" TargetMode = "External"/>
	<Relationship Id="rId375" Type="http://schemas.openxmlformats.org/officeDocument/2006/relationships/hyperlink" Target="https://login.consultant.ru/link/?req=doc&amp;base=RLAW049&amp;n=180335&amp;dst=100142" TargetMode = "External"/>
	<Relationship Id="rId376" Type="http://schemas.openxmlformats.org/officeDocument/2006/relationships/hyperlink" Target="https://login.consultant.ru/link/?req=doc&amp;base=RLAW049&amp;n=180335&amp;dst=100143" TargetMode = "External"/>
	<Relationship Id="rId377" Type="http://schemas.openxmlformats.org/officeDocument/2006/relationships/hyperlink" Target="https://login.consultant.ru/link/?req=doc&amp;base=RLAW049&amp;n=180335&amp;dst=100145" TargetMode = "External"/>
	<Relationship Id="rId378" Type="http://schemas.openxmlformats.org/officeDocument/2006/relationships/hyperlink" Target="https://login.consultant.ru/link/?req=doc&amp;base=RLAW049&amp;n=180335&amp;dst=100147" TargetMode = "External"/>
	<Relationship Id="rId379" Type="http://schemas.openxmlformats.org/officeDocument/2006/relationships/hyperlink" Target="https://login.consultant.ru/link/?req=doc&amp;base=LAW&amp;n=482692&amp;dst=101922" TargetMode = "External"/>
	<Relationship Id="rId380" Type="http://schemas.openxmlformats.org/officeDocument/2006/relationships/hyperlink" Target="https://login.consultant.ru/link/?req=doc&amp;base=RLAW049&amp;n=180335&amp;dst=100148" TargetMode = "External"/>
	<Relationship Id="rId381" Type="http://schemas.openxmlformats.org/officeDocument/2006/relationships/hyperlink" Target="https://login.consultant.ru/link/?req=doc&amp;base=RLAW049&amp;n=180335&amp;dst=100150" TargetMode = "External"/>
	<Relationship Id="rId382" Type="http://schemas.openxmlformats.org/officeDocument/2006/relationships/hyperlink" Target="https://login.consultant.ru/link/?req=doc&amp;base=RLAW049&amp;n=180335&amp;dst=100152" TargetMode = "External"/>
	<Relationship Id="rId383" Type="http://schemas.openxmlformats.org/officeDocument/2006/relationships/hyperlink" Target="https://login.consultant.ru/link/?req=doc&amp;base=RLAW049&amp;n=180335&amp;dst=100153" TargetMode = "External"/>
	<Relationship Id="rId384" Type="http://schemas.openxmlformats.org/officeDocument/2006/relationships/hyperlink" Target="https://login.consultant.ru/link/?req=doc&amp;base=RLAW049&amp;n=180335&amp;dst=100154" TargetMode = "External"/>
	<Relationship Id="rId385" Type="http://schemas.openxmlformats.org/officeDocument/2006/relationships/hyperlink" Target="https://login.consultant.ru/link/?req=doc&amp;base=RLAW049&amp;n=180335&amp;dst=100156" TargetMode = "External"/>
	<Relationship Id="rId386" Type="http://schemas.openxmlformats.org/officeDocument/2006/relationships/hyperlink" Target="https://login.consultant.ru/link/?req=doc&amp;base=LAW&amp;n=121087&amp;dst=100142" TargetMode = "External"/>
	<Relationship Id="rId387" Type="http://schemas.openxmlformats.org/officeDocument/2006/relationships/hyperlink" Target="https://login.consultant.ru/link/?req=doc&amp;base=LAW&amp;n=494968" TargetMode = "External"/>
	<Relationship Id="rId388" Type="http://schemas.openxmlformats.org/officeDocument/2006/relationships/hyperlink" Target="https://login.consultant.ru/link/?req=doc&amp;base=LAW&amp;n=483130&amp;dst=5769" TargetMode = "External"/>
	<Relationship Id="rId389" Type="http://schemas.openxmlformats.org/officeDocument/2006/relationships/hyperlink" Target="https://login.consultant.ru/link/?req=doc&amp;base=RLAW049&amp;n=180335&amp;dst=100162" TargetMode = "External"/>
	<Relationship Id="rId390" Type="http://schemas.openxmlformats.org/officeDocument/2006/relationships/hyperlink" Target="https://login.consultant.ru/link/?req=doc&amp;base=RLAW049&amp;n=180335&amp;dst=100173" TargetMode = "External"/>
	<Relationship Id="rId391" Type="http://schemas.openxmlformats.org/officeDocument/2006/relationships/hyperlink" Target="https://login.consultant.ru/link/?req=doc&amp;base=RLAW049&amp;n=180335&amp;dst=100174" TargetMode = "External"/>
	<Relationship Id="rId392" Type="http://schemas.openxmlformats.org/officeDocument/2006/relationships/hyperlink" Target="https://login.consultant.ru/link/?req=doc&amp;base=RLAW049&amp;n=180335&amp;dst=100175" TargetMode = "External"/>
	<Relationship Id="rId393" Type="http://schemas.openxmlformats.org/officeDocument/2006/relationships/hyperlink" Target="https://login.consultant.ru/link/?req=doc&amp;base=RLAW049&amp;n=180335&amp;dst=100181" TargetMode = "External"/>
	<Relationship Id="rId394" Type="http://schemas.openxmlformats.org/officeDocument/2006/relationships/hyperlink" Target="https://login.consultant.ru/link/?req=doc&amp;base=RLAW049&amp;n=180335&amp;dst=100185" TargetMode = "External"/>
	<Relationship Id="rId395" Type="http://schemas.openxmlformats.org/officeDocument/2006/relationships/hyperlink" Target="https://login.consultant.ru/link/?req=doc&amp;base=RLAW049&amp;n=180335&amp;dst=100187" TargetMode = "External"/>
	<Relationship Id="rId396" Type="http://schemas.openxmlformats.org/officeDocument/2006/relationships/hyperlink" Target="https://login.consultant.ru/link/?req=doc&amp;base=RLAW049&amp;n=180335&amp;dst=100191" TargetMode = "External"/>
	<Relationship Id="rId397" Type="http://schemas.openxmlformats.org/officeDocument/2006/relationships/hyperlink" Target="https://login.consultant.ru/link/?req=doc&amp;base=RLAW049&amp;n=180335&amp;dst=100192" TargetMode = "External"/>
	<Relationship Id="rId398" Type="http://schemas.openxmlformats.org/officeDocument/2006/relationships/hyperlink" Target="https://login.consultant.ru/link/?req=doc&amp;base=RLAW049&amp;n=180335&amp;dst=100193" TargetMode = "External"/>
	<Relationship Id="rId399" Type="http://schemas.openxmlformats.org/officeDocument/2006/relationships/hyperlink" Target="https://login.consultant.ru/link/?req=doc&amp;base=RLAW049&amp;n=180335&amp;dst=100195" TargetMode = "External"/>
	<Relationship Id="rId400" Type="http://schemas.openxmlformats.org/officeDocument/2006/relationships/hyperlink" Target="https://login.consultant.ru/link/?req=doc&amp;base=RLAW049&amp;n=180335&amp;dst=100196" TargetMode = "External"/>
	<Relationship Id="rId401" Type="http://schemas.openxmlformats.org/officeDocument/2006/relationships/hyperlink" Target="https://login.consultant.ru/link/?req=doc&amp;base=RLAW049&amp;n=180335&amp;dst=100196" TargetMode = "External"/>
	<Relationship Id="rId402" Type="http://schemas.openxmlformats.org/officeDocument/2006/relationships/hyperlink" Target="https://login.consultant.ru/link/?req=doc&amp;base=RLAW049&amp;n=180335&amp;dst=100197" TargetMode = "External"/>
	<Relationship Id="rId403" Type="http://schemas.openxmlformats.org/officeDocument/2006/relationships/hyperlink" Target="https://login.consultant.ru/link/?req=doc&amp;base=RLAW049&amp;n=180335&amp;dst=100198" TargetMode = "External"/>
	<Relationship Id="rId404" Type="http://schemas.openxmlformats.org/officeDocument/2006/relationships/hyperlink" Target="https://login.consultant.ru/link/?req=doc&amp;base=RLAW049&amp;n=180335&amp;dst=100200" TargetMode = "External"/>
	<Relationship Id="rId405" Type="http://schemas.openxmlformats.org/officeDocument/2006/relationships/hyperlink" Target="https://login.consultant.ru/link/?req=doc&amp;base=RLAW049&amp;n=180335&amp;dst=100201" TargetMode = "External"/>
	<Relationship Id="rId406" Type="http://schemas.openxmlformats.org/officeDocument/2006/relationships/hyperlink" Target="https://login.consultant.ru/link/?req=doc&amp;base=RLAW049&amp;n=180335&amp;dst=100202" TargetMode = "External"/>
	<Relationship Id="rId407" Type="http://schemas.openxmlformats.org/officeDocument/2006/relationships/hyperlink" Target="https://login.consultant.ru/link/?req=doc&amp;base=LAW&amp;n=430906&amp;dst=100052" TargetMode = "External"/>
	<Relationship Id="rId408" Type="http://schemas.openxmlformats.org/officeDocument/2006/relationships/hyperlink" Target="https://login.consultant.ru/link/?req=doc&amp;base=RLAW049&amp;n=180335&amp;dst=100206" TargetMode = "External"/>
	<Relationship Id="rId409" Type="http://schemas.openxmlformats.org/officeDocument/2006/relationships/hyperlink" Target="https://login.consultant.ru/link/?req=doc&amp;base=RLAW049&amp;n=180335&amp;dst=100249" TargetMode = "External"/>
	<Relationship Id="rId410" Type="http://schemas.openxmlformats.org/officeDocument/2006/relationships/hyperlink" Target="https://login.consultant.ru/link/?req=doc&amp;base=RLAW049&amp;n=180335&amp;dst=100251" TargetMode = "External"/>
	<Relationship Id="rId411" Type="http://schemas.openxmlformats.org/officeDocument/2006/relationships/hyperlink" Target="https://login.consultant.ru/link/?req=doc&amp;base=RLAW049&amp;n=180335&amp;dst=100252" TargetMode = "External"/>
	<Relationship Id="rId412" Type="http://schemas.openxmlformats.org/officeDocument/2006/relationships/hyperlink" Target="https://login.consultant.ru/link/?req=doc&amp;base=RLAW049&amp;n=180335&amp;dst=100253" TargetMode = "External"/>
	<Relationship Id="rId413" Type="http://schemas.openxmlformats.org/officeDocument/2006/relationships/hyperlink" Target="https://login.consultant.ru/link/?req=doc&amp;base=RLAW049&amp;n=180335&amp;dst=100255" TargetMode = "External"/>
	<Relationship Id="rId414" Type="http://schemas.openxmlformats.org/officeDocument/2006/relationships/hyperlink" Target="https://login.consultant.ru/link/?req=doc&amp;base=RLAW049&amp;n=180335&amp;dst=100256" TargetMode = "External"/>
	<Relationship Id="rId415" Type="http://schemas.openxmlformats.org/officeDocument/2006/relationships/hyperlink" Target="https://login.consultant.ru/link/?req=doc&amp;base=RLAW049&amp;n=180335&amp;dst=100258" TargetMode = "External"/>
	<Relationship Id="rId416" Type="http://schemas.openxmlformats.org/officeDocument/2006/relationships/hyperlink" Target="https://login.consultant.ru/link/?req=doc&amp;base=RLAW049&amp;n=180335&amp;dst=100259" TargetMode = "External"/>
	<Relationship Id="rId417" Type="http://schemas.openxmlformats.org/officeDocument/2006/relationships/hyperlink" Target="https://login.consultant.ru/link/?req=doc&amp;base=RLAW049&amp;n=180335&amp;dst=100260" TargetMode = "External"/>
	<Relationship Id="rId418" Type="http://schemas.openxmlformats.org/officeDocument/2006/relationships/hyperlink" Target="https://login.consultant.ru/link/?req=doc&amp;base=RLAW049&amp;n=180335&amp;dst=100267" TargetMode = "External"/>
	<Relationship Id="rId419" Type="http://schemas.openxmlformats.org/officeDocument/2006/relationships/hyperlink" Target="https://login.consultant.ru/link/?req=doc&amp;base=RLAW049&amp;n=180335&amp;dst=100269" TargetMode = "External"/>
	<Relationship Id="rId420" Type="http://schemas.openxmlformats.org/officeDocument/2006/relationships/hyperlink" Target="https://login.consultant.ru/link/?req=doc&amp;base=RLAW049&amp;n=180335&amp;dst=100271" TargetMode = "External"/>
	<Relationship Id="rId421" Type="http://schemas.openxmlformats.org/officeDocument/2006/relationships/hyperlink" Target="https://login.consultant.ru/link/?req=doc&amp;base=LAW&amp;n=466790&amp;dst=3704" TargetMode = "External"/>
	<Relationship Id="rId422" Type="http://schemas.openxmlformats.org/officeDocument/2006/relationships/hyperlink" Target="https://login.consultant.ru/link/?req=doc&amp;base=LAW&amp;n=466790&amp;dst=3722" TargetMode = "External"/>
	<Relationship Id="rId423" Type="http://schemas.openxmlformats.org/officeDocument/2006/relationships/hyperlink" Target="https://login.consultant.ru/link/?req=doc&amp;base=RLAW049&amp;n=180335&amp;dst=100273" TargetMode = "External"/>
	<Relationship Id="rId424" Type="http://schemas.openxmlformats.org/officeDocument/2006/relationships/hyperlink" Target="https://login.consultant.ru/link/?req=doc&amp;base=RLAW049&amp;n=180335&amp;dst=100274" TargetMode = "External"/>
	<Relationship Id="rId425" Type="http://schemas.openxmlformats.org/officeDocument/2006/relationships/hyperlink" Target="https://login.consultant.ru/link/?req=doc&amp;base=RLAW049&amp;n=180335&amp;dst=100275" TargetMode = "External"/>
	<Relationship Id="rId426" Type="http://schemas.openxmlformats.org/officeDocument/2006/relationships/hyperlink" Target="https://login.consultant.ru/link/?req=doc&amp;base=LAW&amp;n=466790&amp;dst=3704" TargetMode = "External"/>
	<Relationship Id="rId427" Type="http://schemas.openxmlformats.org/officeDocument/2006/relationships/hyperlink" Target="https://login.consultant.ru/link/?req=doc&amp;base=LAW&amp;n=466790&amp;dst=3722" TargetMode = "External"/>
	<Relationship Id="rId428" Type="http://schemas.openxmlformats.org/officeDocument/2006/relationships/hyperlink" Target="https://login.consultant.ru/link/?req=doc&amp;base=RLAW049&amp;n=180335&amp;dst=100275" TargetMode = "External"/>
	<Relationship Id="rId429" Type="http://schemas.openxmlformats.org/officeDocument/2006/relationships/hyperlink" Target="https://login.consultant.ru/link/?req=doc&amp;base=RLAW049&amp;n=180335&amp;dst=100276" TargetMode = "External"/>
	<Relationship Id="rId430" Type="http://schemas.openxmlformats.org/officeDocument/2006/relationships/hyperlink" Target="https://login.consultant.ru/link/?req=doc&amp;base=RLAW049&amp;n=180335&amp;dst=100277" TargetMode = "External"/>
	<Relationship Id="rId431" Type="http://schemas.openxmlformats.org/officeDocument/2006/relationships/hyperlink" Target="https://login.consultant.ru/link/?req=doc&amp;base=RLAW049&amp;n=180335&amp;dst=100572" TargetMode = "External"/>
	<Relationship Id="rId432" Type="http://schemas.openxmlformats.org/officeDocument/2006/relationships/hyperlink" Target="https://login.consultant.ru/link/?req=doc&amp;base=RLAW049&amp;n=180335&amp;dst=100277" TargetMode = "External"/>
	<Relationship Id="rId433" Type="http://schemas.openxmlformats.org/officeDocument/2006/relationships/hyperlink" Target="https://login.consultant.ru/link/?req=doc&amp;base=RLAW049&amp;n=180335&amp;dst=100279" TargetMode = "External"/>
	<Relationship Id="rId434" Type="http://schemas.openxmlformats.org/officeDocument/2006/relationships/hyperlink" Target="https://login.consultant.ru/link/?req=doc&amp;base=RLAW049&amp;n=180335&amp;dst=100280" TargetMode = "External"/>
	<Relationship Id="rId435" Type="http://schemas.openxmlformats.org/officeDocument/2006/relationships/hyperlink" Target="https://login.consultant.ru/link/?req=doc&amp;base=RLAW049&amp;n=180335&amp;dst=100281" TargetMode = "External"/>
	<Relationship Id="rId436" Type="http://schemas.openxmlformats.org/officeDocument/2006/relationships/hyperlink" Target="https://login.consultant.ru/link/?req=doc&amp;base=RLAW049&amp;n=180335&amp;dst=100282" TargetMode = "External"/>
	<Relationship Id="rId437" Type="http://schemas.openxmlformats.org/officeDocument/2006/relationships/hyperlink" Target="https://login.consultant.ru/link/?req=doc&amp;base=RLAW049&amp;n=180335&amp;dst=100283" TargetMode = "External"/>
	<Relationship Id="rId438" Type="http://schemas.openxmlformats.org/officeDocument/2006/relationships/hyperlink" Target="https://login.consultant.ru/link/?req=doc&amp;base=RLAW049&amp;n=180335&amp;dst=100284" TargetMode = "External"/>
	<Relationship Id="rId439" Type="http://schemas.openxmlformats.org/officeDocument/2006/relationships/hyperlink" Target="https://login.consultant.ru/link/?req=doc&amp;base=RLAW049&amp;n=180335&amp;dst=100285" TargetMode = "External"/>
	<Relationship Id="rId440" Type="http://schemas.openxmlformats.org/officeDocument/2006/relationships/image" Target="media/image5.wmf"/>
	<Relationship Id="rId441" Type="http://schemas.openxmlformats.org/officeDocument/2006/relationships/hyperlink" Target="https://login.consultant.ru/link/?req=doc&amp;base=RLAW049&amp;n=180335&amp;dst=100286" TargetMode = "External"/>
	<Relationship Id="rId442" Type="http://schemas.openxmlformats.org/officeDocument/2006/relationships/hyperlink" Target="https://login.consultant.ru/link/?req=doc&amp;base=RLAW049&amp;n=180335&amp;dst=100287" TargetMode = "External"/>
	<Relationship Id="rId443" Type="http://schemas.openxmlformats.org/officeDocument/2006/relationships/hyperlink" Target="https://login.consultant.ru/link/?req=doc&amp;base=RLAW049&amp;n=180335&amp;dst=100288" TargetMode = "External"/>
	<Relationship Id="rId444" Type="http://schemas.openxmlformats.org/officeDocument/2006/relationships/hyperlink" Target="https://login.consultant.ru/link/?req=doc&amp;base=RLAW049&amp;n=180335&amp;dst=100289" TargetMode = "External"/>
	<Relationship Id="rId445" Type="http://schemas.openxmlformats.org/officeDocument/2006/relationships/hyperlink" Target="https://login.consultant.ru/link/?req=doc&amp;base=RLAW049&amp;n=174396&amp;dst=100020" TargetMode = "External"/>
	<Relationship Id="rId446" Type="http://schemas.openxmlformats.org/officeDocument/2006/relationships/hyperlink" Target="https://login.consultant.ru/link/?req=doc&amp;base=RLAW049&amp;n=178952&amp;dst=100117" TargetMode = "External"/>
	<Relationship Id="rId447" Type="http://schemas.openxmlformats.org/officeDocument/2006/relationships/hyperlink" Target="https://login.consultant.ru/link/?req=doc&amp;base=RLAW049&amp;n=180335&amp;dst=100290" TargetMode = "External"/>
	<Relationship Id="rId448" Type="http://schemas.openxmlformats.org/officeDocument/2006/relationships/hyperlink" Target="https://login.consultant.ru/link/?req=doc&amp;base=RLAW049&amp;n=178952&amp;dst=100119" TargetMode = "External"/>
	<Relationship Id="rId449" Type="http://schemas.openxmlformats.org/officeDocument/2006/relationships/hyperlink" Target="https://login.consultant.ru/link/?req=doc&amp;base=LAW&amp;n=466790&amp;dst=7461" TargetMode = "External"/>
	<Relationship Id="rId450" Type="http://schemas.openxmlformats.org/officeDocument/2006/relationships/hyperlink" Target="https://login.consultant.ru/link/?req=doc&amp;base=LAW&amp;n=493282&amp;dst=585" TargetMode = "External"/>
	<Relationship Id="rId451" Type="http://schemas.openxmlformats.org/officeDocument/2006/relationships/hyperlink" Target="https://login.consultant.ru/link/?req=doc&amp;base=LAW&amp;n=490805&amp;dst=100029" TargetMode = "External"/>
	<Relationship Id="rId452" Type="http://schemas.openxmlformats.org/officeDocument/2006/relationships/hyperlink" Target="https://login.consultant.ru/link/?req=doc&amp;base=RLAW049&amp;n=179200&amp;dst=100081" TargetMode = "External"/>
	<Relationship Id="rId453" Type="http://schemas.openxmlformats.org/officeDocument/2006/relationships/hyperlink" Target="https://login.consultant.ru/link/?req=doc&amp;base=LAW&amp;n=493282" TargetMode = "External"/>
	<Relationship Id="rId454" Type="http://schemas.openxmlformats.org/officeDocument/2006/relationships/hyperlink" Target="https://login.consultant.ru/link/?req=doc&amp;base=RLAW049&amp;n=179200" TargetMode = "External"/>
	<Relationship Id="rId455" Type="http://schemas.openxmlformats.org/officeDocument/2006/relationships/hyperlink" Target="https://login.consultant.ru/link/?req=doc&amp;base=RLAW049&amp;n=180335&amp;dst=100292" TargetMode = "External"/>
	<Relationship Id="rId456" Type="http://schemas.openxmlformats.org/officeDocument/2006/relationships/hyperlink" Target="https://login.consultant.ru/link/?req=doc&amp;base=RLAW049&amp;n=180335&amp;dst=100294" TargetMode = "External"/>
	<Relationship Id="rId457" Type="http://schemas.openxmlformats.org/officeDocument/2006/relationships/hyperlink" Target="https://login.consultant.ru/link/?req=doc&amp;base=RLAW049&amp;n=180335&amp;dst=100296" TargetMode = "External"/>
	<Relationship Id="rId458" Type="http://schemas.openxmlformats.org/officeDocument/2006/relationships/hyperlink" Target="https://login.consultant.ru/link/?req=doc&amp;base=RLAW049&amp;n=180335&amp;dst=100297" TargetMode = "External"/>
	<Relationship Id="rId459" Type="http://schemas.openxmlformats.org/officeDocument/2006/relationships/hyperlink" Target="https://login.consultant.ru/link/?req=doc&amp;base=RLAW049&amp;n=180335&amp;dst=100300" TargetMode = "External"/>
	<Relationship Id="rId460" Type="http://schemas.openxmlformats.org/officeDocument/2006/relationships/hyperlink" Target="https://login.consultant.ru/link/?req=doc&amp;base=RLAW049&amp;n=180335&amp;dst=100300" TargetMode = "External"/>
	<Relationship Id="rId461" Type="http://schemas.openxmlformats.org/officeDocument/2006/relationships/hyperlink" Target="https://login.consultant.ru/link/?req=doc&amp;base=RLAW049&amp;n=180335&amp;dst=100300" TargetMode = "External"/>
	<Relationship Id="rId462" Type="http://schemas.openxmlformats.org/officeDocument/2006/relationships/hyperlink" Target="https://login.consultant.ru/link/?req=doc&amp;base=RLAW049&amp;n=180335&amp;dst=100301" TargetMode = "External"/>
	<Relationship Id="rId463" Type="http://schemas.openxmlformats.org/officeDocument/2006/relationships/hyperlink" Target="https://login.consultant.ru/link/?req=doc&amp;base=RLAW049&amp;n=180335&amp;dst=100303" TargetMode = "External"/>
	<Relationship Id="rId464" Type="http://schemas.openxmlformats.org/officeDocument/2006/relationships/hyperlink" Target="https://login.consultant.ru/link/?req=doc&amp;base=RLAW049&amp;n=180335&amp;dst=100304" TargetMode = "External"/>
	<Relationship Id="rId465" Type="http://schemas.openxmlformats.org/officeDocument/2006/relationships/hyperlink" Target="https://login.consultant.ru/link/?req=doc&amp;base=RLAW049&amp;n=180335&amp;dst=100305" TargetMode = "External"/>
	<Relationship Id="rId466" Type="http://schemas.openxmlformats.org/officeDocument/2006/relationships/hyperlink" Target="https://login.consultant.ru/link/?req=doc&amp;base=RLAW049&amp;n=180335&amp;dst=100306" TargetMode = "External"/>
	<Relationship Id="rId467" Type="http://schemas.openxmlformats.org/officeDocument/2006/relationships/hyperlink" Target="https://login.consultant.ru/link/?req=doc&amp;base=RLAW049&amp;n=180335&amp;dst=100308" TargetMode = "External"/>
	<Relationship Id="rId468" Type="http://schemas.openxmlformats.org/officeDocument/2006/relationships/hyperlink" Target="https://login.consultant.ru/link/?req=doc&amp;base=RLAW049&amp;n=180335&amp;dst=100310" TargetMode = "External"/>
	<Relationship Id="rId469" Type="http://schemas.openxmlformats.org/officeDocument/2006/relationships/hyperlink" Target="https://login.consultant.ru/link/?req=doc&amp;base=LAW&amp;n=482692&amp;dst=101922" TargetMode = "External"/>
	<Relationship Id="rId470" Type="http://schemas.openxmlformats.org/officeDocument/2006/relationships/hyperlink" Target="https://login.consultant.ru/link/?req=doc&amp;base=RLAW049&amp;n=180335&amp;dst=100311" TargetMode = "External"/>
	<Relationship Id="rId471" Type="http://schemas.openxmlformats.org/officeDocument/2006/relationships/hyperlink" Target="https://login.consultant.ru/link/?req=doc&amp;base=RLAW049&amp;n=180335&amp;dst=100313" TargetMode = "External"/>
	<Relationship Id="rId472" Type="http://schemas.openxmlformats.org/officeDocument/2006/relationships/hyperlink" Target="https://login.consultant.ru/link/?req=doc&amp;base=RLAW049&amp;n=180335&amp;dst=100315" TargetMode = "External"/>
	<Relationship Id="rId473" Type="http://schemas.openxmlformats.org/officeDocument/2006/relationships/hyperlink" Target="https://login.consultant.ru/link/?req=doc&amp;base=RLAW049&amp;n=180335&amp;dst=100316" TargetMode = "External"/>
	<Relationship Id="rId474" Type="http://schemas.openxmlformats.org/officeDocument/2006/relationships/hyperlink" Target="https://login.consultant.ru/link/?req=doc&amp;base=RLAW049&amp;n=180335&amp;dst=100317" TargetMode = "External"/>
	<Relationship Id="rId475" Type="http://schemas.openxmlformats.org/officeDocument/2006/relationships/hyperlink" Target="https://login.consultant.ru/link/?req=doc&amp;base=RLAW049&amp;n=180335&amp;dst=100319" TargetMode = "External"/>
	<Relationship Id="rId476" Type="http://schemas.openxmlformats.org/officeDocument/2006/relationships/hyperlink" Target="https://login.consultant.ru/link/?req=doc&amp;base=LAW&amp;n=121087&amp;dst=100142" TargetMode = "External"/>
	<Relationship Id="rId477" Type="http://schemas.openxmlformats.org/officeDocument/2006/relationships/hyperlink" Target="https://login.consultant.ru/link/?req=doc&amp;base=LAW&amp;n=494968" TargetMode = "External"/>
	<Relationship Id="rId478" Type="http://schemas.openxmlformats.org/officeDocument/2006/relationships/hyperlink" Target="https://login.consultant.ru/link/?req=doc&amp;base=LAW&amp;n=483130&amp;dst=5769" TargetMode = "External"/>
	<Relationship Id="rId479" Type="http://schemas.openxmlformats.org/officeDocument/2006/relationships/hyperlink" Target="https://login.consultant.ru/link/?req=doc&amp;base=RLAW049&amp;n=180335&amp;dst=100325" TargetMode = "External"/>
	<Relationship Id="rId480" Type="http://schemas.openxmlformats.org/officeDocument/2006/relationships/hyperlink" Target="https://login.consultant.ru/link/?req=doc&amp;base=RLAW049&amp;n=180335&amp;dst=100336" TargetMode = "External"/>
	<Relationship Id="rId481" Type="http://schemas.openxmlformats.org/officeDocument/2006/relationships/hyperlink" Target="https://login.consultant.ru/link/?req=doc&amp;base=RLAW049&amp;n=180335&amp;dst=100337" TargetMode = "External"/>
	<Relationship Id="rId482" Type="http://schemas.openxmlformats.org/officeDocument/2006/relationships/hyperlink" Target="https://login.consultant.ru/link/?req=doc&amp;base=RLAW049&amp;n=180335&amp;dst=100338" TargetMode = "External"/>
	<Relationship Id="rId483" Type="http://schemas.openxmlformats.org/officeDocument/2006/relationships/hyperlink" Target="https://login.consultant.ru/link/?req=doc&amp;base=RLAW049&amp;n=180335&amp;dst=100344" TargetMode = "External"/>
	<Relationship Id="rId484" Type="http://schemas.openxmlformats.org/officeDocument/2006/relationships/hyperlink" Target="https://login.consultant.ru/link/?req=doc&amp;base=RLAW049&amp;n=180335&amp;dst=100348" TargetMode = "External"/>
	<Relationship Id="rId485" Type="http://schemas.openxmlformats.org/officeDocument/2006/relationships/hyperlink" Target="https://login.consultant.ru/link/?req=doc&amp;base=RLAW049&amp;n=180335&amp;dst=100350" TargetMode = "External"/>
	<Relationship Id="rId486" Type="http://schemas.openxmlformats.org/officeDocument/2006/relationships/hyperlink" Target="https://login.consultant.ru/link/?req=doc&amp;base=RLAW049&amp;n=180335&amp;dst=100354" TargetMode = "External"/>
	<Relationship Id="rId487" Type="http://schemas.openxmlformats.org/officeDocument/2006/relationships/hyperlink" Target="https://login.consultant.ru/link/?req=doc&amp;base=RLAW049&amp;n=180335&amp;dst=100355" TargetMode = "External"/>
	<Relationship Id="rId488" Type="http://schemas.openxmlformats.org/officeDocument/2006/relationships/hyperlink" Target="https://login.consultant.ru/link/?req=doc&amp;base=RLAW049&amp;n=180335&amp;dst=100356" TargetMode = "External"/>
	<Relationship Id="rId489" Type="http://schemas.openxmlformats.org/officeDocument/2006/relationships/hyperlink" Target="https://login.consultant.ru/link/?req=doc&amp;base=RLAW049&amp;n=180335&amp;dst=100358" TargetMode = "External"/>
	<Relationship Id="rId490" Type="http://schemas.openxmlformats.org/officeDocument/2006/relationships/hyperlink" Target="https://login.consultant.ru/link/?req=doc&amp;base=RLAW049&amp;n=180335&amp;dst=100359" TargetMode = "External"/>
	<Relationship Id="rId491" Type="http://schemas.openxmlformats.org/officeDocument/2006/relationships/hyperlink" Target="https://login.consultant.ru/link/?req=doc&amp;base=RLAW049&amp;n=180335&amp;dst=100359" TargetMode = "External"/>
	<Relationship Id="rId492" Type="http://schemas.openxmlformats.org/officeDocument/2006/relationships/hyperlink" Target="https://login.consultant.ru/link/?req=doc&amp;base=RLAW049&amp;n=180335&amp;dst=100360" TargetMode = "External"/>
	<Relationship Id="rId493" Type="http://schemas.openxmlformats.org/officeDocument/2006/relationships/hyperlink" Target="https://login.consultant.ru/link/?req=doc&amp;base=RLAW049&amp;n=180335&amp;dst=100361" TargetMode = "External"/>
	<Relationship Id="rId494" Type="http://schemas.openxmlformats.org/officeDocument/2006/relationships/hyperlink" Target="https://login.consultant.ru/link/?req=doc&amp;base=RLAW049&amp;n=180335&amp;dst=100363" TargetMode = "External"/>
	<Relationship Id="rId495" Type="http://schemas.openxmlformats.org/officeDocument/2006/relationships/hyperlink" Target="https://login.consultant.ru/link/?req=doc&amp;base=RLAW049&amp;n=180335&amp;dst=100364" TargetMode = "External"/>
	<Relationship Id="rId496" Type="http://schemas.openxmlformats.org/officeDocument/2006/relationships/hyperlink" Target="https://login.consultant.ru/link/?req=doc&amp;base=RLAW049&amp;n=180335&amp;dst=100365" TargetMode = "External"/>
	<Relationship Id="rId497" Type="http://schemas.openxmlformats.org/officeDocument/2006/relationships/hyperlink" Target="https://login.consultant.ru/link/?req=doc&amp;base=RLAW049&amp;n=180335&amp;dst=100369" TargetMode = "External"/>
	<Relationship Id="rId498" Type="http://schemas.openxmlformats.org/officeDocument/2006/relationships/hyperlink" Target="https://login.consultant.ru/link/?req=doc&amp;base=RLAW049&amp;n=180335&amp;dst=100404" TargetMode = "External"/>
	<Relationship Id="rId499" Type="http://schemas.openxmlformats.org/officeDocument/2006/relationships/hyperlink" Target="https://login.consultant.ru/link/?req=doc&amp;base=RLAW049&amp;n=180335&amp;dst=100406" TargetMode = "External"/>
	<Relationship Id="rId500" Type="http://schemas.openxmlformats.org/officeDocument/2006/relationships/hyperlink" Target="https://login.consultant.ru/link/?req=doc&amp;base=RLAW049&amp;n=180335&amp;dst=100407" TargetMode = "External"/>
	<Relationship Id="rId501" Type="http://schemas.openxmlformats.org/officeDocument/2006/relationships/hyperlink" Target="https://login.consultant.ru/link/?req=doc&amp;base=RLAW049&amp;n=180335&amp;dst=100408" TargetMode = "External"/>
	<Relationship Id="rId502" Type="http://schemas.openxmlformats.org/officeDocument/2006/relationships/hyperlink" Target="https://login.consultant.ru/link/?req=doc&amp;base=RLAW049&amp;n=180335&amp;dst=100410" TargetMode = "External"/>
	<Relationship Id="rId503" Type="http://schemas.openxmlformats.org/officeDocument/2006/relationships/hyperlink" Target="https://login.consultant.ru/link/?req=doc&amp;base=RLAW049&amp;n=180335&amp;dst=100411" TargetMode = "External"/>
	<Relationship Id="rId504" Type="http://schemas.openxmlformats.org/officeDocument/2006/relationships/hyperlink" Target="https://login.consultant.ru/link/?req=doc&amp;base=RLAW049&amp;n=180335&amp;dst=100413" TargetMode = "External"/>
	<Relationship Id="rId505" Type="http://schemas.openxmlformats.org/officeDocument/2006/relationships/hyperlink" Target="https://login.consultant.ru/link/?req=doc&amp;base=RLAW049&amp;n=180335&amp;dst=100414" TargetMode = "External"/>
	<Relationship Id="rId506" Type="http://schemas.openxmlformats.org/officeDocument/2006/relationships/hyperlink" Target="https://login.consultant.ru/link/?req=doc&amp;base=RLAW049&amp;n=180335&amp;dst=100415" TargetMode = "External"/>
	<Relationship Id="rId507" Type="http://schemas.openxmlformats.org/officeDocument/2006/relationships/hyperlink" Target="https://login.consultant.ru/link/?req=doc&amp;base=RLAW049&amp;n=180335&amp;dst=100421" TargetMode = "External"/>
	<Relationship Id="rId508" Type="http://schemas.openxmlformats.org/officeDocument/2006/relationships/hyperlink" Target="https://login.consultant.ru/link/?req=doc&amp;base=RLAW049&amp;n=180335&amp;dst=100423" TargetMode = "External"/>
	<Relationship Id="rId509" Type="http://schemas.openxmlformats.org/officeDocument/2006/relationships/hyperlink" Target="https://login.consultant.ru/link/?req=doc&amp;base=RLAW049&amp;n=180335&amp;dst=100425" TargetMode = "External"/>
	<Relationship Id="rId510" Type="http://schemas.openxmlformats.org/officeDocument/2006/relationships/hyperlink" Target="https://login.consultant.ru/link/?req=doc&amp;base=LAW&amp;n=466790&amp;dst=3704" TargetMode = "External"/>
	<Relationship Id="rId511" Type="http://schemas.openxmlformats.org/officeDocument/2006/relationships/hyperlink" Target="https://login.consultant.ru/link/?req=doc&amp;base=LAW&amp;n=466790&amp;dst=3722" TargetMode = "External"/>
	<Relationship Id="rId512" Type="http://schemas.openxmlformats.org/officeDocument/2006/relationships/hyperlink" Target="https://login.consultant.ru/link/?req=doc&amp;base=RLAW049&amp;n=180335&amp;dst=100427" TargetMode = "External"/>
	<Relationship Id="rId513" Type="http://schemas.openxmlformats.org/officeDocument/2006/relationships/hyperlink" Target="https://login.consultant.ru/link/?req=doc&amp;base=RLAW049&amp;n=180335&amp;dst=100428" TargetMode = "External"/>
	<Relationship Id="rId514" Type="http://schemas.openxmlformats.org/officeDocument/2006/relationships/hyperlink" Target="https://login.consultant.ru/link/?req=doc&amp;base=RLAW049&amp;n=180335&amp;dst=100429" TargetMode = "External"/>
	<Relationship Id="rId515" Type="http://schemas.openxmlformats.org/officeDocument/2006/relationships/hyperlink" Target="https://login.consultant.ru/link/?req=doc&amp;base=LAW&amp;n=466790&amp;dst=3704" TargetMode = "External"/>
	<Relationship Id="rId516" Type="http://schemas.openxmlformats.org/officeDocument/2006/relationships/hyperlink" Target="https://login.consultant.ru/link/?req=doc&amp;base=LAW&amp;n=466790&amp;dst=3722" TargetMode = "External"/>
	<Relationship Id="rId517" Type="http://schemas.openxmlformats.org/officeDocument/2006/relationships/hyperlink" Target="https://login.consultant.ru/link/?req=doc&amp;base=RLAW049&amp;n=180335&amp;dst=100429" TargetMode = "External"/>
	<Relationship Id="rId518" Type="http://schemas.openxmlformats.org/officeDocument/2006/relationships/hyperlink" Target="https://login.consultant.ru/link/?req=doc&amp;base=RLAW049&amp;n=180335&amp;dst=100430" TargetMode = "External"/>
	<Relationship Id="rId519" Type="http://schemas.openxmlformats.org/officeDocument/2006/relationships/hyperlink" Target="https://login.consultant.ru/link/?req=doc&amp;base=RLAW049&amp;n=180335&amp;dst=100431" TargetMode = "External"/>
	<Relationship Id="rId520" Type="http://schemas.openxmlformats.org/officeDocument/2006/relationships/hyperlink" Target="https://login.consultant.ru/link/?req=doc&amp;base=RLAW049&amp;n=180335&amp;dst=100572" TargetMode = "External"/>
	<Relationship Id="rId521" Type="http://schemas.openxmlformats.org/officeDocument/2006/relationships/hyperlink" Target="https://login.consultant.ru/link/?req=doc&amp;base=RLAW049&amp;n=180335&amp;dst=100431" TargetMode = "External"/>
	<Relationship Id="rId522" Type="http://schemas.openxmlformats.org/officeDocument/2006/relationships/hyperlink" Target="https://login.consultant.ru/link/?req=doc&amp;base=RLAW049&amp;n=180335&amp;dst=100433" TargetMode = "External"/>
	<Relationship Id="rId523" Type="http://schemas.openxmlformats.org/officeDocument/2006/relationships/hyperlink" Target="https://login.consultant.ru/link/?req=doc&amp;base=RLAW049&amp;n=180335&amp;dst=100434" TargetMode = "External"/>
	<Relationship Id="rId524" Type="http://schemas.openxmlformats.org/officeDocument/2006/relationships/hyperlink" Target="https://login.consultant.ru/link/?req=doc&amp;base=RLAW049&amp;n=180335&amp;dst=100435" TargetMode = "External"/>
	<Relationship Id="rId525" Type="http://schemas.openxmlformats.org/officeDocument/2006/relationships/hyperlink" Target="https://login.consultant.ru/link/?req=doc&amp;base=RLAW049&amp;n=180335&amp;dst=100436" TargetMode = "External"/>
	<Relationship Id="rId526" Type="http://schemas.openxmlformats.org/officeDocument/2006/relationships/hyperlink" Target="https://login.consultant.ru/link/?req=doc&amp;base=RLAW049&amp;n=180335&amp;dst=100437" TargetMode = "External"/>
	<Relationship Id="rId527" Type="http://schemas.openxmlformats.org/officeDocument/2006/relationships/hyperlink" Target="https://login.consultant.ru/link/?req=doc&amp;base=RLAW049&amp;n=180335&amp;dst=100438" TargetMode = "External"/>
	<Relationship Id="rId528" Type="http://schemas.openxmlformats.org/officeDocument/2006/relationships/hyperlink" Target="https://login.consultant.ru/link/?req=doc&amp;base=RLAW049&amp;n=180335&amp;dst=100439" TargetMode = "External"/>
	<Relationship Id="rId529" Type="http://schemas.openxmlformats.org/officeDocument/2006/relationships/image" Target="media/image6.wmf"/>
	<Relationship Id="rId530" Type="http://schemas.openxmlformats.org/officeDocument/2006/relationships/hyperlink" Target="https://login.consultant.ru/link/?req=doc&amp;base=RLAW049&amp;n=180335&amp;dst=100440" TargetMode = "External"/>
	<Relationship Id="rId531" Type="http://schemas.openxmlformats.org/officeDocument/2006/relationships/hyperlink" Target="https://login.consultant.ru/link/?req=doc&amp;base=RLAW049&amp;n=180335&amp;dst=100441" TargetMode = "External"/>
	<Relationship Id="rId532" Type="http://schemas.openxmlformats.org/officeDocument/2006/relationships/hyperlink" Target="https://login.consultant.ru/link/?req=doc&amp;base=RLAW049&amp;n=180335&amp;dst=100442" TargetMode = "External"/>
	<Relationship Id="rId533" Type="http://schemas.openxmlformats.org/officeDocument/2006/relationships/hyperlink" Target="https://login.consultant.ru/link/?req=doc&amp;base=RLAW049&amp;n=180335&amp;dst=100443" TargetMode = "External"/>
	<Relationship Id="rId534" Type="http://schemas.openxmlformats.org/officeDocument/2006/relationships/hyperlink" Target="https://login.consultant.ru/link/?req=doc&amp;base=RLAW049&amp;n=174396&amp;dst=100021" TargetMode = "External"/>
	<Relationship Id="rId535" Type="http://schemas.openxmlformats.org/officeDocument/2006/relationships/hyperlink" Target="https://login.consultant.ru/link/?req=doc&amp;base=RLAW049&amp;n=174396&amp;dst=100022" TargetMode = "External"/>
	<Relationship Id="rId536" Type="http://schemas.openxmlformats.org/officeDocument/2006/relationships/hyperlink" Target="https://login.consultant.ru/link/?req=doc&amp;base=RLAW049&amp;n=180335&amp;dst=100444" TargetMode = "External"/>
	<Relationship Id="rId537" Type="http://schemas.openxmlformats.org/officeDocument/2006/relationships/hyperlink" Target="https://login.consultant.ru/link/?req=doc&amp;base=LAW&amp;n=466790&amp;dst=7460" TargetMode = "External"/>
	<Relationship Id="rId538" Type="http://schemas.openxmlformats.org/officeDocument/2006/relationships/hyperlink" Target="https://login.consultant.ru/link/?req=doc&amp;base=LAW&amp;n=493282&amp;dst=585" TargetMode = "External"/>
	<Relationship Id="rId539" Type="http://schemas.openxmlformats.org/officeDocument/2006/relationships/hyperlink" Target="https://login.consultant.ru/link/?req=doc&amp;base=LAW&amp;n=490805&amp;dst=100029" TargetMode = "External"/>
	<Relationship Id="rId540" Type="http://schemas.openxmlformats.org/officeDocument/2006/relationships/hyperlink" Target="https://login.consultant.ru/link/?req=doc&amp;base=RLAW049&amp;n=179200&amp;dst=100081" TargetMode = "External"/>
	<Relationship Id="rId541" Type="http://schemas.openxmlformats.org/officeDocument/2006/relationships/hyperlink" Target="https://login.consultant.ru/link/?req=doc&amp;base=LAW&amp;n=493282" TargetMode = "External"/>
	<Relationship Id="rId542" Type="http://schemas.openxmlformats.org/officeDocument/2006/relationships/hyperlink" Target="https://login.consultant.ru/link/?req=doc&amp;base=LAW&amp;n=486385" TargetMode = "External"/>
	<Relationship Id="rId543" Type="http://schemas.openxmlformats.org/officeDocument/2006/relationships/hyperlink" Target="https://login.consultant.ru/link/?req=doc&amp;base=RLAW049&amp;n=179200" TargetMode = "External"/>
	<Relationship Id="rId544" Type="http://schemas.openxmlformats.org/officeDocument/2006/relationships/hyperlink" Target="https://login.consultant.ru/link/?req=doc&amp;base=RLAW049&amp;n=180335&amp;dst=100446" TargetMode = "External"/>
	<Relationship Id="rId545" Type="http://schemas.openxmlformats.org/officeDocument/2006/relationships/hyperlink" Target="https://login.consultant.ru/link/?req=doc&amp;base=RLAW049&amp;n=180335&amp;dst=100448" TargetMode = "External"/>
	<Relationship Id="rId546" Type="http://schemas.openxmlformats.org/officeDocument/2006/relationships/hyperlink" Target="https://login.consultant.ru/link/?req=doc&amp;base=RLAW049&amp;n=180335&amp;dst=100450" TargetMode = "External"/>
	<Relationship Id="rId547" Type="http://schemas.openxmlformats.org/officeDocument/2006/relationships/hyperlink" Target="https://login.consultant.ru/link/?req=doc&amp;base=RLAW049&amp;n=180335&amp;dst=100451" TargetMode = "External"/>
	<Relationship Id="rId548" Type="http://schemas.openxmlformats.org/officeDocument/2006/relationships/hyperlink" Target="https://login.consultant.ru/link/?req=doc&amp;base=RLAW049&amp;n=180335&amp;dst=100454" TargetMode = "External"/>
	<Relationship Id="rId549" Type="http://schemas.openxmlformats.org/officeDocument/2006/relationships/hyperlink" Target="https://login.consultant.ru/link/?req=doc&amp;base=RLAW049&amp;n=180335&amp;dst=100454" TargetMode = "External"/>
	<Relationship Id="rId550" Type="http://schemas.openxmlformats.org/officeDocument/2006/relationships/hyperlink" Target="https://login.consultant.ru/link/?req=doc&amp;base=RLAW049&amp;n=180335&amp;dst=100454" TargetMode = "External"/>
	<Relationship Id="rId551" Type="http://schemas.openxmlformats.org/officeDocument/2006/relationships/hyperlink" Target="https://login.consultant.ru/link/?req=doc&amp;base=RLAW049&amp;n=180335&amp;dst=100455" TargetMode = "External"/>
	<Relationship Id="rId552" Type="http://schemas.openxmlformats.org/officeDocument/2006/relationships/hyperlink" Target="https://login.consultant.ru/link/?req=doc&amp;base=RLAW049&amp;n=180335&amp;dst=100457" TargetMode = "External"/>
	<Relationship Id="rId553" Type="http://schemas.openxmlformats.org/officeDocument/2006/relationships/hyperlink" Target="https://login.consultant.ru/link/?req=doc&amp;base=RLAW049&amp;n=180335&amp;dst=100458" TargetMode = "External"/>
	<Relationship Id="rId554" Type="http://schemas.openxmlformats.org/officeDocument/2006/relationships/hyperlink" Target="https://login.consultant.ru/link/?req=doc&amp;base=RLAW049&amp;n=180335&amp;dst=100459" TargetMode = "External"/>
	<Relationship Id="rId555" Type="http://schemas.openxmlformats.org/officeDocument/2006/relationships/hyperlink" Target="https://login.consultant.ru/link/?req=doc&amp;base=RLAW049&amp;n=180335&amp;dst=100461" TargetMode = "External"/>
	<Relationship Id="rId556" Type="http://schemas.openxmlformats.org/officeDocument/2006/relationships/hyperlink" Target="https://login.consultant.ru/link/?req=doc&amp;base=RLAW049&amp;n=180335&amp;dst=100462" TargetMode = "External"/>
	<Relationship Id="rId557" Type="http://schemas.openxmlformats.org/officeDocument/2006/relationships/hyperlink" Target="https://login.consultant.ru/link/?req=doc&amp;base=RLAW049&amp;n=180335&amp;dst=100464" TargetMode = "External"/>
	<Relationship Id="rId558" Type="http://schemas.openxmlformats.org/officeDocument/2006/relationships/hyperlink" Target="https://login.consultant.ru/link/?req=doc&amp;base=LAW&amp;n=482692&amp;dst=101922" TargetMode = "External"/>
	<Relationship Id="rId559" Type="http://schemas.openxmlformats.org/officeDocument/2006/relationships/hyperlink" Target="https://login.consultant.ru/link/?req=doc&amp;base=RLAW049&amp;n=180335&amp;dst=100465" TargetMode = "External"/>
	<Relationship Id="rId560" Type="http://schemas.openxmlformats.org/officeDocument/2006/relationships/hyperlink" Target="https://login.consultant.ru/link/?req=doc&amp;base=RLAW049&amp;n=180335&amp;dst=100467" TargetMode = "External"/>
	<Relationship Id="rId561" Type="http://schemas.openxmlformats.org/officeDocument/2006/relationships/hyperlink" Target="https://login.consultant.ru/link/?req=doc&amp;base=RLAW049&amp;n=180335&amp;dst=100469" TargetMode = "External"/>
	<Relationship Id="rId562" Type="http://schemas.openxmlformats.org/officeDocument/2006/relationships/hyperlink" Target="https://login.consultant.ru/link/?req=doc&amp;base=RLAW049&amp;n=180335&amp;dst=100470" TargetMode = "External"/>
	<Relationship Id="rId563" Type="http://schemas.openxmlformats.org/officeDocument/2006/relationships/hyperlink" Target="https://login.consultant.ru/link/?req=doc&amp;base=RLAW049&amp;n=180335&amp;dst=100472" TargetMode = "External"/>
	<Relationship Id="rId564" Type="http://schemas.openxmlformats.org/officeDocument/2006/relationships/hyperlink" Target="https://login.consultant.ru/link/?req=doc&amp;base=RLAW049&amp;n=180335&amp;dst=100473" TargetMode = "External"/>
	<Relationship Id="rId565" Type="http://schemas.openxmlformats.org/officeDocument/2006/relationships/hyperlink" Target="https://login.consultant.ru/link/?req=doc&amp;base=RLAW049&amp;n=180335&amp;dst=100474" TargetMode = "External"/>
	<Relationship Id="rId566" Type="http://schemas.openxmlformats.org/officeDocument/2006/relationships/hyperlink" Target="https://login.consultant.ru/link/?req=doc&amp;base=RLAW049&amp;n=180335&amp;dst=100475" TargetMode = "External"/>
	<Relationship Id="rId567" Type="http://schemas.openxmlformats.org/officeDocument/2006/relationships/hyperlink" Target="https://login.consultant.ru/link/?req=doc&amp;base=RLAW049&amp;n=180335&amp;dst=100476" TargetMode = "External"/>
	<Relationship Id="rId568" Type="http://schemas.openxmlformats.org/officeDocument/2006/relationships/hyperlink" Target="https://login.consultant.ru/link/?req=doc&amp;base=RLAW049&amp;n=180335&amp;dst=100477" TargetMode = "External"/>
	<Relationship Id="rId569" Type="http://schemas.openxmlformats.org/officeDocument/2006/relationships/hyperlink" Target="https://login.consultant.ru/link/?req=doc&amp;base=RLAW049&amp;n=180335&amp;dst=100478" TargetMode = "External"/>
	<Relationship Id="rId570" Type="http://schemas.openxmlformats.org/officeDocument/2006/relationships/hyperlink" Target="https://login.consultant.ru/link/?req=doc&amp;base=RLAW049&amp;n=180335&amp;dst=100479" TargetMode = "External"/>
	<Relationship Id="rId571" Type="http://schemas.openxmlformats.org/officeDocument/2006/relationships/hyperlink" Target="https://login.consultant.ru/link/?req=doc&amp;base=RLAW049&amp;n=180335&amp;dst=100480" TargetMode = "External"/>
	<Relationship Id="rId572" Type="http://schemas.openxmlformats.org/officeDocument/2006/relationships/hyperlink" Target="https://login.consultant.ru/link/?req=doc&amp;base=RLAW049&amp;n=180335&amp;dst=100481" TargetMode = "External"/>
	<Relationship Id="rId573" Type="http://schemas.openxmlformats.org/officeDocument/2006/relationships/hyperlink" Target="https://login.consultant.ru/link/?req=doc&amp;base=RLAW049&amp;n=180335&amp;dst=100482" TargetMode = "External"/>
	<Relationship Id="rId574" Type="http://schemas.openxmlformats.org/officeDocument/2006/relationships/hyperlink" Target="https://login.consultant.ru/link/?req=doc&amp;base=RLAW049&amp;n=180335&amp;dst=100484" TargetMode = "External"/>
	<Relationship Id="rId575" Type="http://schemas.openxmlformats.org/officeDocument/2006/relationships/hyperlink" Target="https://login.consultant.ru/link/?req=doc&amp;base=LAW&amp;n=121087&amp;dst=100142" TargetMode = "External"/>
	<Relationship Id="rId576" Type="http://schemas.openxmlformats.org/officeDocument/2006/relationships/hyperlink" Target="https://login.consultant.ru/link/?req=doc&amp;base=LAW&amp;n=494968" TargetMode = "External"/>
	<Relationship Id="rId577" Type="http://schemas.openxmlformats.org/officeDocument/2006/relationships/hyperlink" Target="https://login.consultant.ru/link/?req=doc&amp;base=LAW&amp;n=483130&amp;dst=5769" TargetMode = "External"/>
	<Relationship Id="rId578" Type="http://schemas.openxmlformats.org/officeDocument/2006/relationships/hyperlink" Target="https://login.consultant.ru/link/?req=doc&amp;base=RLAW049&amp;n=180335&amp;dst=100490" TargetMode = "External"/>
	<Relationship Id="rId579" Type="http://schemas.openxmlformats.org/officeDocument/2006/relationships/hyperlink" Target="https://login.consultant.ru/link/?req=doc&amp;base=RLAW049&amp;n=180335&amp;dst=100501" TargetMode = "External"/>
	<Relationship Id="rId580" Type="http://schemas.openxmlformats.org/officeDocument/2006/relationships/hyperlink" Target="https://login.consultant.ru/link/?req=doc&amp;base=RLAW049&amp;n=180335&amp;dst=100502" TargetMode = "External"/>
	<Relationship Id="rId581" Type="http://schemas.openxmlformats.org/officeDocument/2006/relationships/hyperlink" Target="https://login.consultant.ru/link/?req=doc&amp;base=RLAW049&amp;n=180335&amp;dst=100503" TargetMode = "External"/>
	<Relationship Id="rId582" Type="http://schemas.openxmlformats.org/officeDocument/2006/relationships/hyperlink" Target="https://login.consultant.ru/link/?req=doc&amp;base=RLAW049&amp;n=180335&amp;dst=100509" TargetMode = "External"/>
	<Relationship Id="rId583" Type="http://schemas.openxmlformats.org/officeDocument/2006/relationships/hyperlink" Target="https://login.consultant.ru/link/?req=doc&amp;base=RLAW049&amp;n=180335&amp;dst=100513" TargetMode = "External"/>
	<Relationship Id="rId584" Type="http://schemas.openxmlformats.org/officeDocument/2006/relationships/hyperlink" Target="https://login.consultant.ru/link/?req=doc&amp;base=RLAW049&amp;n=180335&amp;dst=100515" TargetMode = "External"/>
	<Relationship Id="rId585" Type="http://schemas.openxmlformats.org/officeDocument/2006/relationships/hyperlink" Target="https://login.consultant.ru/link/?req=doc&amp;base=RLAW049&amp;n=180335&amp;dst=100519" TargetMode = "External"/>
	<Relationship Id="rId586" Type="http://schemas.openxmlformats.org/officeDocument/2006/relationships/hyperlink" Target="https://login.consultant.ru/link/?req=doc&amp;base=RLAW049&amp;n=180335&amp;dst=100520" TargetMode = "External"/>
	<Relationship Id="rId587" Type="http://schemas.openxmlformats.org/officeDocument/2006/relationships/hyperlink" Target="https://login.consultant.ru/link/?req=doc&amp;base=RLAW049&amp;n=180335&amp;dst=100521" TargetMode = "External"/>
	<Relationship Id="rId588" Type="http://schemas.openxmlformats.org/officeDocument/2006/relationships/hyperlink" Target="https://login.consultant.ru/link/?req=doc&amp;base=RLAW049&amp;n=180335&amp;dst=100523" TargetMode = "External"/>
	<Relationship Id="rId589" Type="http://schemas.openxmlformats.org/officeDocument/2006/relationships/hyperlink" Target="https://login.consultant.ru/link/?req=doc&amp;base=RLAW049&amp;n=180335&amp;dst=100524" TargetMode = "External"/>
	<Relationship Id="rId590" Type="http://schemas.openxmlformats.org/officeDocument/2006/relationships/hyperlink" Target="https://login.consultant.ru/link/?req=doc&amp;base=RLAW049&amp;n=180335&amp;dst=100524" TargetMode = "External"/>
	<Relationship Id="rId591" Type="http://schemas.openxmlformats.org/officeDocument/2006/relationships/hyperlink" Target="https://login.consultant.ru/link/?req=doc&amp;base=RLAW049&amp;n=180335&amp;dst=100525" TargetMode = "External"/>
	<Relationship Id="rId592" Type="http://schemas.openxmlformats.org/officeDocument/2006/relationships/hyperlink" Target="https://login.consultant.ru/link/?req=doc&amp;base=RLAW049&amp;n=180335&amp;dst=100526" TargetMode = "External"/>
	<Relationship Id="rId593" Type="http://schemas.openxmlformats.org/officeDocument/2006/relationships/hyperlink" Target="https://login.consultant.ru/link/?req=doc&amp;base=RLAW049&amp;n=180335&amp;dst=100528" TargetMode = "External"/>
	<Relationship Id="rId594" Type="http://schemas.openxmlformats.org/officeDocument/2006/relationships/hyperlink" Target="https://login.consultant.ru/link/?req=doc&amp;base=RLAW049&amp;n=180335&amp;dst=100529" TargetMode = "External"/>
	<Relationship Id="rId595" Type="http://schemas.openxmlformats.org/officeDocument/2006/relationships/hyperlink" Target="https://login.consultant.ru/link/?req=doc&amp;base=RLAW049&amp;n=180335&amp;dst=100530" TargetMode = "External"/>
	<Relationship Id="rId596" Type="http://schemas.openxmlformats.org/officeDocument/2006/relationships/hyperlink" Target="https://login.consultant.ru/link/?req=doc&amp;base=RLAW049&amp;n=180335&amp;dst=100532" TargetMode = "External"/>
	<Relationship Id="rId597" Type="http://schemas.openxmlformats.org/officeDocument/2006/relationships/hyperlink" Target="https://login.consultant.ru/link/?req=doc&amp;base=RLAW049&amp;n=180335&amp;dst=100533" TargetMode = "External"/>
	<Relationship Id="rId598" Type="http://schemas.openxmlformats.org/officeDocument/2006/relationships/hyperlink" Target="https://login.consultant.ru/link/?req=doc&amp;base=RLAW049&amp;n=180335&amp;dst=100535" TargetMode = "External"/>
	<Relationship Id="rId599" Type="http://schemas.openxmlformats.org/officeDocument/2006/relationships/hyperlink" Target="https://login.consultant.ru/link/?req=doc&amp;base=RLAW049&amp;n=180335&amp;dst=100536" TargetMode = "External"/>
	<Relationship Id="rId600" Type="http://schemas.openxmlformats.org/officeDocument/2006/relationships/hyperlink" Target="https://login.consultant.ru/link/?req=doc&amp;base=RLAW049&amp;n=180335&amp;dst=100537" TargetMode = "External"/>
	<Relationship Id="rId601" Type="http://schemas.openxmlformats.org/officeDocument/2006/relationships/hyperlink" Target="https://login.consultant.ru/link/?req=doc&amp;base=RLAW049&amp;n=180335&amp;dst=100539" TargetMode = "External"/>
	<Relationship Id="rId602" Type="http://schemas.openxmlformats.org/officeDocument/2006/relationships/hyperlink" Target="https://login.consultant.ru/link/?req=doc&amp;base=RLAW049&amp;n=180335&amp;dst=100540" TargetMode = "External"/>
	<Relationship Id="rId603" Type="http://schemas.openxmlformats.org/officeDocument/2006/relationships/hyperlink" Target="https://login.consultant.ru/link/?req=doc&amp;base=RLAW049&amp;n=180335&amp;dst=100542" TargetMode = "External"/>
	<Relationship Id="rId604" Type="http://schemas.openxmlformats.org/officeDocument/2006/relationships/hyperlink" Target="https://login.consultant.ru/link/?req=doc&amp;base=RLAW049&amp;n=180335&amp;dst=100543" TargetMode = "External"/>
	<Relationship Id="rId605" Type="http://schemas.openxmlformats.org/officeDocument/2006/relationships/hyperlink" Target="https://login.consultant.ru/link/?req=doc&amp;base=RLAW049&amp;n=180335&amp;dst=100544" TargetMode = "External"/>
	<Relationship Id="rId606" Type="http://schemas.openxmlformats.org/officeDocument/2006/relationships/hyperlink" Target="https://login.consultant.ru/link/?req=doc&amp;base=RLAW049&amp;n=180335&amp;dst=100546" TargetMode = "External"/>
	<Relationship Id="rId607" Type="http://schemas.openxmlformats.org/officeDocument/2006/relationships/hyperlink" Target="https://login.consultant.ru/link/?req=doc&amp;base=RLAW049&amp;n=180335&amp;dst=100548" TargetMode = "External"/>
	<Relationship Id="rId608" Type="http://schemas.openxmlformats.org/officeDocument/2006/relationships/hyperlink" Target="https://login.consultant.ru/link/?req=doc&amp;base=LAW&amp;n=466790&amp;dst=3704" TargetMode = "External"/>
	<Relationship Id="rId609" Type="http://schemas.openxmlformats.org/officeDocument/2006/relationships/hyperlink" Target="https://login.consultant.ru/link/?req=doc&amp;base=LAW&amp;n=466790&amp;dst=3722" TargetMode = "External"/>
	<Relationship Id="rId610" Type="http://schemas.openxmlformats.org/officeDocument/2006/relationships/hyperlink" Target="https://login.consultant.ru/link/?req=doc&amp;base=RLAW049&amp;n=180335&amp;dst=100549" TargetMode = "External"/>
	<Relationship Id="rId611" Type="http://schemas.openxmlformats.org/officeDocument/2006/relationships/hyperlink" Target="https://login.consultant.ru/link/?req=doc&amp;base=RLAW049&amp;n=180335&amp;dst=100553" TargetMode = "External"/>
	<Relationship Id="rId612" Type="http://schemas.openxmlformats.org/officeDocument/2006/relationships/hyperlink" Target="https://login.consultant.ru/link/?req=doc&amp;base=RLAW049&amp;n=180335&amp;dst=100555" TargetMode = "External"/>
	<Relationship Id="rId613" Type="http://schemas.openxmlformats.org/officeDocument/2006/relationships/hyperlink" Target="https://login.consultant.ru/link/?req=doc&amp;base=RLAW049&amp;n=180335&amp;dst=100556" TargetMode = "External"/>
	<Relationship Id="rId614" Type="http://schemas.openxmlformats.org/officeDocument/2006/relationships/hyperlink" Target="https://login.consultant.ru/link/?req=doc&amp;base=LAW&amp;n=466790&amp;dst=3704" TargetMode = "External"/>
	<Relationship Id="rId615" Type="http://schemas.openxmlformats.org/officeDocument/2006/relationships/hyperlink" Target="https://login.consultant.ru/link/?req=doc&amp;base=LAW&amp;n=466790&amp;dst=3722" TargetMode = "External"/>
	<Relationship Id="rId616" Type="http://schemas.openxmlformats.org/officeDocument/2006/relationships/hyperlink" Target="https://login.consultant.ru/link/?req=doc&amp;base=RLAW049&amp;n=180335&amp;dst=100556" TargetMode = "External"/>
	<Relationship Id="rId617" Type="http://schemas.openxmlformats.org/officeDocument/2006/relationships/hyperlink" Target="https://login.consultant.ru/link/?req=doc&amp;base=RLAW049&amp;n=180335&amp;dst=100558" TargetMode = "External"/>
	<Relationship Id="rId618" Type="http://schemas.openxmlformats.org/officeDocument/2006/relationships/hyperlink" Target="https://login.consultant.ru/link/?req=doc&amp;base=RLAW049&amp;n=180335&amp;dst=100559" TargetMode = "External"/>
	<Relationship Id="rId619" Type="http://schemas.openxmlformats.org/officeDocument/2006/relationships/hyperlink" Target="https://login.consultant.ru/link/?req=doc&amp;base=RLAW049&amp;n=180335&amp;dst=100561" TargetMode = "External"/>
	<Relationship Id="rId620" Type="http://schemas.openxmlformats.org/officeDocument/2006/relationships/hyperlink" Target="https://login.consultant.ru/link/?req=doc&amp;base=RLAW049&amp;n=180335&amp;dst=100562" TargetMode = "External"/>
	<Relationship Id="rId621" Type="http://schemas.openxmlformats.org/officeDocument/2006/relationships/hyperlink" Target="https://login.consultant.ru/link/?req=doc&amp;base=RLAW049&amp;n=180335&amp;dst=100563" TargetMode = "External"/>
	<Relationship Id="rId622" Type="http://schemas.openxmlformats.org/officeDocument/2006/relationships/hyperlink" Target="https://login.consultant.ru/link/?req=doc&amp;base=RLAW049&amp;n=180335&amp;dst=100564" TargetMode = "External"/>
	<Relationship Id="rId623" Type="http://schemas.openxmlformats.org/officeDocument/2006/relationships/hyperlink" Target="https://login.consultant.ru/link/?req=doc&amp;base=RLAW049&amp;n=180335&amp;dst=100565" TargetMode = "External"/>
	<Relationship Id="rId624" Type="http://schemas.openxmlformats.org/officeDocument/2006/relationships/hyperlink" Target="https://login.consultant.ru/link/?req=doc&amp;base=RLAW049&amp;n=180335&amp;dst=100566" TargetMode = "External"/>
	<Relationship Id="rId625" Type="http://schemas.openxmlformats.org/officeDocument/2006/relationships/hyperlink" Target="https://login.consultant.ru/link/?req=doc&amp;base=RLAW049&amp;n=180335&amp;dst=100567" TargetMode = "External"/>
	<Relationship Id="rId626" Type="http://schemas.openxmlformats.org/officeDocument/2006/relationships/hyperlink" Target="https://login.consultant.ru/link/?req=doc&amp;base=RLAW049&amp;n=180335&amp;dst=100568" TargetMode = "External"/>
	<Relationship Id="rId627" Type="http://schemas.openxmlformats.org/officeDocument/2006/relationships/hyperlink" Target="https://login.consultant.ru/link/?req=doc&amp;base=RLAW049&amp;n=180335&amp;dst=100569" TargetMode = "External"/>
	<Relationship Id="rId628" Type="http://schemas.openxmlformats.org/officeDocument/2006/relationships/hyperlink" Target="https://login.consultant.ru/link/?req=doc&amp;base=RLAW049&amp;n=180335&amp;dst=100570" TargetMode = "External"/>
	<Relationship Id="rId629" Type="http://schemas.openxmlformats.org/officeDocument/2006/relationships/hyperlink" Target="https://login.consultant.ru/link/?req=doc&amp;base=RLAW049&amp;n=180335&amp;dst=100571"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Новосибирской области от 26.12.2018 N 570-п
(ред. от 06.02.2025)
"Об утверждении государственной программы Новосибирской области "Развитие институтов региональной политики и гражданского общества в Новосибирской области"</dc:title>
  <dcterms:created xsi:type="dcterms:W3CDTF">2025-04-02T03:37:56Z</dcterms:created>
</cp:coreProperties>
</file>