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line="276" w:lineRule="auto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  <w:t xml:space="preserve">Формирование антикоррупционного правосознания </w:t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  <w:t xml:space="preserve">в системе мер противодействия коррупции</w:t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left="0" w:right="0" w:firstLine="709"/>
        <w:jc w:val="both"/>
        <w:spacing w:before="0" w:after="0"/>
        <w:shd w:val="clear" w:color="ffffff" w:fill="ffffff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В рамках профильной деятельности в адрес Уполномоченного по правам человека в Новосибирской области по вопросам коррупционных проявлений за 2023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год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white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поступило 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highlight w:val="white"/>
        </w:rPr>
        <w:t xml:space="preserve">28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white"/>
        </w:rPr>
        <w:t xml:space="preserve">обращений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0" w:right="0" w:firstLine="709"/>
        <w:jc w:val="both"/>
        <w:spacing w:before="0" w:after="0"/>
        <w:shd w:val="clear" w:color="ffffff" w:fill="ffffff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В их числе: 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white"/>
        </w:rPr>
        <w:t xml:space="preserve">телефонные звонки -3, личные приёмы – 6, письменные – 19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0" w:right="0" w:firstLine="709"/>
        <w:jc w:val="both"/>
        <w:spacing w:before="0" w:after="0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В обращениях граждане указывали на коррупционные проявления в действиях должностных и иных лиц в следующих сферах жизнедеятельности: уголовно-исполнительной, уголовно-процессуальной, гражданско-процессуальной, социальной, административной.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709"/>
        <w:jc w:val="both"/>
        <w:spacing w:before="0" w:after="0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Заявители указывали на коррупционные проявления сотрудников органов местного самоуправления, органов исполнительной власти, органов полиции, прокуратуры, органов системы исполнения наказаний.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709"/>
        <w:jc w:val="both"/>
        <w:spacing w:before="0" w:after="0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По всем обращениям Уполномоченным были даны разъяснения на поставленные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вопросы, а также о возможных вариантах защиты нарушенных прав.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По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white"/>
        </w:rPr>
        <w:t xml:space="preserve"> 2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обращениям были направлены соответствующие письма в компетентные органы (исходя из существа обращений).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Подобные обращения всегда находятся у Уполномоченного на контроле.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858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соответствии с Законом Новосибирской области от 10.12.2012 № 270-ОЗ «Об Уполномоченном по правам человека в Новосибирской области» на Уполномоченного по правам человека распространяются гарантии, установленные Законом Новосибир</w:t>
      </w:r>
      <w:r>
        <w:rPr>
          <w:color w:val="000000" w:themeColor="text1"/>
          <w:sz w:val="28"/>
          <w:szCs w:val="28"/>
        </w:rPr>
        <w:t xml:space="preserve">ской области от 11.05.2000 № 95-ОЗ «О правовом статусе лиц, замещающих государственные должности Новосибирской области», и ограничения, установленные Федеральным законом от 25.12.2008 № 273-ФЗ «О противодействии коррупции» и другими федеральными законами. 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858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связи с изложенным, в аппарате Уполномоченного разработаны и утверждены все необходимые нормативные акты, предусмотренные требованиями федерального законодательства о противодействии коррупции. 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80"/>
        <w:jc w:val="both"/>
        <w:widowControl w:val="off"/>
        <w:tabs>
          <w:tab w:val="left" w:pos="1073" w:leader="none"/>
        </w:tabs>
        <w:rPr>
          <w:color w:val="000000" w:themeColor="text1"/>
        </w:rPr>
      </w:pPr>
      <w:r>
        <w:rPr>
          <w:color w:val="000000" w:themeColor="text1"/>
        </w:rPr>
        <w:t xml:space="preserve">Создана комиссия по соблюдению требований к служебному поведению государственных гражданских служащих Новосибирской области, замещающих должности государственной гр</w:t>
      </w:r>
      <w:r>
        <w:rPr>
          <w:color w:val="000000" w:themeColor="text1"/>
        </w:rPr>
        <w:t xml:space="preserve">ажданской службы в государственном органе Новосибирской области Уполномоченный по правам человека в Новосибирской области и аппарат Уполномоченного по правам человека, и урегулированию конфликта интересов. Ежегодно, в соответствии с требованиями закона, со</w:t>
      </w:r>
      <w:r>
        <w:rPr>
          <w:color w:val="000000" w:themeColor="text1"/>
        </w:rPr>
        <w:t xml:space="preserve">трудниками государственного органа Новосибирской области Уполномоченный по правам человека в Новосибирской области и аппарат Уполномоченного по правам человека подаются декларации о доходах, об имуществе, обязательствах имущественного характера и расходах.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ind w:firstLine="780"/>
        <w:jc w:val="both"/>
        <w:widowControl w:val="off"/>
        <w:tabs>
          <w:tab w:val="left" w:pos="1073" w:leader="none"/>
        </w:tabs>
        <w:rPr>
          <w:color w:val="000000" w:themeColor="text1"/>
          <w:lang w:bidi="ru-RU"/>
        </w:rPr>
      </w:pPr>
      <w:r>
        <w:rPr>
          <w:color w:val="000000" w:themeColor="text1"/>
          <w:lang w:bidi="ru-RU"/>
        </w:rPr>
        <w:t xml:space="preserve">В 20</w:t>
      </w:r>
      <w:r>
        <w:rPr>
          <w:color w:val="000000" w:themeColor="text1"/>
          <w:lang w:bidi="ru-RU"/>
        </w:rPr>
        <w:t xml:space="preserve">23</w:t>
      </w:r>
      <w:r>
        <w:rPr>
          <w:color w:val="000000" w:themeColor="text1"/>
          <w:lang w:bidi="ru-RU"/>
        </w:rPr>
        <w:t xml:space="preserve"> году было п</w:t>
      </w:r>
      <w:r>
        <w:rPr>
          <w:color w:val="000000" w:themeColor="text1"/>
          <w:lang w:bidi="ru-RU"/>
        </w:rPr>
        <w:t xml:space="preserve">родолж</w:t>
      </w:r>
      <w:r>
        <w:rPr>
          <w:color w:val="000000" w:themeColor="text1"/>
          <w:lang w:bidi="ru-RU"/>
        </w:rPr>
        <w:t xml:space="preserve">ено осуществление</w:t>
      </w:r>
      <w:r>
        <w:rPr>
          <w:color w:val="000000" w:themeColor="text1"/>
          <w:lang w:bidi="ru-RU"/>
        </w:rPr>
        <w:t xml:space="preserve"> взаимодействи</w:t>
      </w:r>
      <w:r>
        <w:rPr>
          <w:color w:val="000000" w:themeColor="text1"/>
          <w:lang w:bidi="ru-RU"/>
        </w:rPr>
        <w:t xml:space="preserve">я</w:t>
      </w:r>
      <w:r>
        <w:rPr>
          <w:color w:val="000000" w:themeColor="text1"/>
          <w:lang w:bidi="ru-RU"/>
        </w:rPr>
        <w:t xml:space="preserve"> с правоохранительными органами Новосибирской области</w:t>
      </w:r>
      <w:r>
        <w:rPr>
          <w:color w:val="000000" w:themeColor="text1"/>
        </w:rPr>
        <w:t xml:space="preserve"> в рамках заключённых соглашений</w:t>
      </w:r>
      <w:r>
        <w:rPr>
          <w:color w:val="000000" w:themeColor="text1"/>
        </w:rPr>
        <w:t xml:space="preserve"> о взаимодействии и сотрудничестве</w:t>
      </w:r>
      <w:r>
        <w:rPr>
          <w:color w:val="000000" w:themeColor="text1"/>
          <w:lang w:bidi="ru-RU"/>
        </w:rPr>
        <w:t xml:space="preserve">. </w:t>
      </w:r>
      <w:r>
        <w:rPr>
          <w:color w:val="000000" w:themeColor="text1"/>
          <w:lang w:bidi="ru-RU"/>
        </w:rPr>
      </w:r>
      <w:r>
        <w:rPr>
          <w:color w:val="000000" w:themeColor="text1"/>
          <w:lang w:bidi="ru-RU"/>
        </w:rPr>
      </w:r>
    </w:p>
    <w:p>
      <w:pPr>
        <w:ind w:firstLine="780"/>
        <w:jc w:val="both"/>
        <w:widowControl w:val="off"/>
        <w:tabs>
          <w:tab w:val="left" w:pos="1073" w:leader="none"/>
        </w:tabs>
        <w:rPr>
          <w:color w:val="000000" w:themeColor="text1"/>
          <w:lang w:bidi="ru-RU"/>
        </w:rPr>
      </w:pPr>
      <w:r>
        <w:rPr>
          <w:color w:val="000000" w:themeColor="text1"/>
          <w:lang w:bidi="ru-RU"/>
        </w:rPr>
        <w:t xml:space="preserve">Одним из пр</w:t>
      </w:r>
      <w:r>
        <w:rPr>
          <w:color w:val="000000" w:themeColor="text1"/>
          <w:lang w:bidi="ru-RU"/>
        </w:rPr>
        <w:t xml:space="preserve">едметов Соглашений является сотрудничество и взаимодействие сторон по вопросам обеспечения гарантий государственной защиты прав и свобод граждан, выявления и, устранения и предупреждения причин и нарушений в сфере противодействия и профилактики коррупции. </w:t>
      </w:r>
      <w:r>
        <w:rPr>
          <w:color w:val="000000" w:themeColor="text1"/>
          <w:lang w:bidi="ru-RU"/>
        </w:rPr>
      </w:r>
      <w:r>
        <w:rPr>
          <w:color w:val="000000" w:themeColor="text1"/>
          <w:lang w:bidi="ru-RU"/>
        </w:rPr>
      </w:r>
    </w:p>
    <w:p>
      <w:pPr>
        <w:ind w:firstLine="425"/>
        <w:jc w:val="both"/>
      </w:pPr>
      <w:r>
        <w:t xml:space="preserve">Уполномоченным всегда отмечалась важность проблемы коррупционных проявлений, большое внимание уделяется превентивным мерам в данном направлении, в том числе в форме правового просвещения</w:t>
      </w:r>
      <w:r>
        <w:t xml:space="preserve"> граждан</w:t>
      </w:r>
      <w:r>
        <w:t xml:space="preserve">.</w:t>
      </w:r>
      <w:r/>
    </w:p>
    <w:p>
      <w:pPr>
        <w:ind w:firstLine="596"/>
        <w:jc w:val="both"/>
        <w:rPr>
          <w:color w:val="000000" w:themeColor="text1"/>
        </w:rPr>
      </w:pPr>
      <w:r>
        <w:rPr>
          <w:color w:val="000000" w:themeColor="text1"/>
        </w:rPr>
        <w:t xml:space="preserve">При организации ставшего традиционным </w:t>
      </w:r>
      <w:r>
        <w:rPr>
          <w:color w:val="000000" w:themeColor="text1"/>
        </w:rPr>
        <w:t xml:space="preserve">девятого</w:t>
      </w:r>
      <w:r>
        <w:rPr>
          <w:color w:val="000000" w:themeColor="text1"/>
        </w:rPr>
        <w:t xml:space="preserve"> конкурса среди студентов высших учебных заведений города Новосибирс</w:t>
      </w:r>
      <w:r>
        <w:rPr>
          <w:color w:val="000000" w:themeColor="text1"/>
        </w:rPr>
        <w:t xml:space="preserve">ка «Права человека и правозащитная деятельность на территории Новосибирской области: проблемы и перспективы развития» специально учреждена отдельная номинация по теме «Коррупция как социально-нравственная проблема общества». Конкурс проходил в три этапа с </w:t>
      </w:r>
      <w:r>
        <w:rPr>
          <w:color w:val="000000" w:themeColor="text1"/>
        </w:rPr>
        <w:t xml:space="preserve">февраля </w:t>
      </w:r>
      <w:r>
        <w:rPr>
          <w:color w:val="000000" w:themeColor="text1"/>
        </w:rPr>
        <w:t xml:space="preserve">по ноябрь 20</w:t>
      </w:r>
      <w:r>
        <w:rPr>
          <w:color w:val="000000" w:themeColor="text1"/>
        </w:rPr>
        <w:t xml:space="preserve">23</w:t>
      </w:r>
      <w:r>
        <w:rPr>
          <w:color w:val="000000" w:themeColor="text1"/>
        </w:rPr>
        <w:t xml:space="preserve"> года. В конкурсе приняли участие </w:t>
      </w:r>
      <w:r>
        <w:rPr>
          <w:color w:val="000000" w:themeColor="text1"/>
        </w:rPr>
        <w:t xml:space="preserve">68</w:t>
      </w:r>
      <w:r>
        <w:rPr>
          <w:color w:val="000000" w:themeColor="text1"/>
        </w:rPr>
        <w:t xml:space="preserve"> студент</w:t>
      </w:r>
      <w:r>
        <w:rPr>
          <w:color w:val="000000" w:themeColor="text1"/>
        </w:rPr>
        <w:t xml:space="preserve">ов из 8</w:t>
      </w:r>
      <w:r>
        <w:rPr>
          <w:color w:val="000000" w:themeColor="text1"/>
        </w:rPr>
        <w:t xml:space="preserve"> высших учебных заведений Новосибирска. На конкурс в рамках номинации «Коррупция как социально-нравственная проблема общества» были заявлены </w:t>
      </w:r>
      <w:r>
        <w:rPr>
          <w:color w:val="000000" w:themeColor="text1"/>
        </w:rPr>
        <w:t xml:space="preserve">6</w:t>
      </w:r>
      <w:r>
        <w:rPr>
          <w:color w:val="000000" w:themeColor="text1"/>
        </w:rPr>
        <w:t xml:space="preserve"> научны</w:t>
      </w:r>
      <w:r>
        <w:rPr>
          <w:color w:val="000000" w:themeColor="text1"/>
        </w:rPr>
        <w:t xml:space="preserve">х</w:t>
      </w:r>
      <w:r>
        <w:rPr>
          <w:color w:val="000000" w:themeColor="text1"/>
        </w:rPr>
        <w:t xml:space="preserve"> работ, </w:t>
      </w:r>
      <w:r>
        <w:rPr>
          <w:color w:val="000000" w:themeColor="text1"/>
        </w:rPr>
        <w:t xml:space="preserve">2</w:t>
      </w:r>
      <w:r>
        <w:rPr>
          <w:color w:val="000000" w:themeColor="text1"/>
        </w:rPr>
        <w:t xml:space="preserve"> из которых конкурсной комиссией были присвоены призовые места.</w:t>
      </w:r>
      <w:r>
        <w:rPr>
          <w:color w:val="000000" w:themeColor="text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Победителями стали: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ind w:firstLine="708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 место -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студентка  2-го курса очного отделения юридического факультета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Федерального государственного бюджетного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образовательного учреждения высшего образования «Новосибирский государственный университет экономики и управления «НИНХ»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Тихонова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Юлия Сергеевна;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 место -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студентк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2-го курса очного отделения факультета базовой подготовки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Федерального государственного бюджетного образовательного учреждения высшего образования «Новосибирский государственный университет экономики и управления «НИНХ»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Полежаева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Софья Сергеевна 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Рошка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Алина Викторовна.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96"/>
        <w:jc w:val="both"/>
        <w:rPr>
          <w:color w:val="000000" w:themeColor="text1"/>
          <w:highlight w:val="none"/>
        </w:rPr>
      </w:pPr>
      <w:r>
        <w:rPr>
          <w:color w:val="000000" w:themeColor="text1"/>
        </w:rPr>
        <w:t xml:space="preserve">Итоги конкурса </w:t>
      </w:r>
      <w:r>
        <w:rPr>
          <w:color w:val="000000" w:themeColor="text1"/>
        </w:rPr>
        <w:t xml:space="preserve">были </w:t>
      </w:r>
      <w:r>
        <w:rPr>
          <w:color w:val="000000" w:themeColor="text1"/>
        </w:rPr>
        <w:t xml:space="preserve">подведены</w:t>
      </w:r>
      <w:bookmarkStart w:id="0" w:name="_GoBack"/>
      <w:r/>
      <w:bookmarkEnd w:id="0"/>
      <w:r>
        <w:rPr>
          <w:color w:val="000000" w:themeColor="text1"/>
        </w:rPr>
        <w:t xml:space="preserve"> в ходе научно-практической конференции </w:t>
      </w:r>
      <w:r>
        <w:rPr>
          <w:color w:val="000000" w:themeColor="text1"/>
        </w:rPr>
        <w:t xml:space="preserve">22</w:t>
      </w:r>
      <w:r>
        <w:rPr>
          <w:color w:val="000000" w:themeColor="text1"/>
        </w:rPr>
        <w:t xml:space="preserve"> декабря 20</w:t>
      </w:r>
      <w:r>
        <w:rPr>
          <w:color w:val="000000" w:themeColor="text1"/>
        </w:rPr>
        <w:t xml:space="preserve">23</w:t>
      </w:r>
      <w:r>
        <w:rPr>
          <w:color w:val="000000" w:themeColor="text1"/>
        </w:rPr>
        <w:t xml:space="preserve"> года, в ходе которой выступили с докладами также и победители </w:t>
      </w:r>
      <w:r>
        <w:rPr>
          <w:color w:val="000000" w:themeColor="text1"/>
        </w:rPr>
        <w:t xml:space="preserve">в номинации «Коррупция как социально-нравственная проблема общества»</w:t>
      </w:r>
      <w:r>
        <w:t xml:space="preserve">.</w:t>
      </w:r>
      <w:r>
        <w:rPr>
          <w:color w:val="000000" w:themeColor="text1"/>
          <w:highlight w:val="none"/>
        </w:rPr>
      </w:r>
      <w:r>
        <w:rPr>
          <w:color w:val="000000" w:themeColor="text1"/>
          <w:highlight w:val="none"/>
        </w:rPr>
      </w:r>
    </w:p>
    <w:p>
      <w:pPr>
        <w:ind w:firstLine="596"/>
        <w:jc w:val="both"/>
        <w:rPr>
          <w:color w:val="000000" w:themeColor="text1"/>
          <w:highlight w:val="none"/>
        </w:rPr>
      </w:pPr>
      <w:r>
        <w:rPr>
          <w:color w:val="000000" w:themeColor="text1"/>
          <w:highlight w:val="none"/>
        </w:rPr>
      </w:r>
      <w:r>
        <w:rPr>
          <w:color w:val="000000" w:themeColor="text1"/>
          <w:highlight w:val="none"/>
        </w:rPr>
      </w:r>
      <w:r>
        <w:rPr>
          <w:color w:val="000000" w:themeColor="text1"/>
          <w:highlight w:val="none"/>
        </w:rPr>
      </w:r>
    </w:p>
    <w:sectPr>
      <w:headerReference w:type="default" r:id="rId8"/>
      <w:footnotePr/>
      <w:endnotePr/>
      <w:type w:val="nextPage"/>
      <w:pgSz w:w="11906" w:h="16838" w:orient="portrait"/>
      <w:pgMar w:top="426" w:right="720" w:bottom="720" w:left="720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026597726"/>
      <w:docPartObj>
        <w:docPartGallery w:val="Page Numbers (Top of Page)"/>
        <w:docPartUnique w:val="true"/>
      </w:docPartObj>
      <w:rPr/>
    </w:sdtPr>
    <w:sdtContent>
      <w:p>
        <w:pPr>
          <w:pStyle w:val="861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  <w:r/>
      </w:p>
    </w:sdtContent>
  </w:sdt>
  <w:p>
    <w:pPr>
      <w:pStyle w:val="861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8">
    <w:name w:val="Heading 1"/>
    <w:basedOn w:val="854"/>
    <w:next w:val="854"/>
    <w:link w:val="67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9">
    <w:name w:val="Heading 1 Char"/>
    <w:basedOn w:val="855"/>
    <w:link w:val="678"/>
    <w:uiPriority w:val="9"/>
    <w:rPr>
      <w:rFonts w:ascii="Arial" w:hAnsi="Arial" w:eastAsia="Arial" w:cs="Arial"/>
      <w:sz w:val="40"/>
      <w:szCs w:val="40"/>
    </w:rPr>
  </w:style>
  <w:style w:type="paragraph" w:styleId="680">
    <w:name w:val="Heading 2"/>
    <w:basedOn w:val="854"/>
    <w:next w:val="854"/>
    <w:link w:val="68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1">
    <w:name w:val="Heading 2 Char"/>
    <w:basedOn w:val="855"/>
    <w:link w:val="680"/>
    <w:uiPriority w:val="9"/>
    <w:rPr>
      <w:rFonts w:ascii="Arial" w:hAnsi="Arial" w:eastAsia="Arial" w:cs="Arial"/>
      <w:sz w:val="34"/>
    </w:rPr>
  </w:style>
  <w:style w:type="paragraph" w:styleId="682">
    <w:name w:val="Heading 3"/>
    <w:basedOn w:val="854"/>
    <w:next w:val="854"/>
    <w:link w:val="68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3">
    <w:name w:val="Heading 3 Char"/>
    <w:basedOn w:val="855"/>
    <w:link w:val="682"/>
    <w:uiPriority w:val="9"/>
    <w:rPr>
      <w:rFonts w:ascii="Arial" w:hAnsi="Arial" w:eastAsia="Arial" w:cs="Arial"/>
      <w:sz w:val="30"/>
      <w:szCs w:val="30"/>
    </w:rPr>
  </w:style>
  <w:style w:type="paragraph" w:styleId="684">
    <w:name w:val="Heading 4"/>
    <w:basedOn w:val="854"/>
    <w:next w:val="854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5">
    <w:name w:val="Heading 4 Char"/>
    <w:basedOn w:val="855"/>
    <w:link w:val="684"/>
    <w:uiPriority w:val="9"/>
    <w:rPr>
      <w:rFonts w:ascii="Arial" w:hAnsi="Arial" w:eastAsia="Arial" w:cs="Arial"/>
      <w:b/>
      <w:bCs/>
      <w:sz w:val="26"/>
      <w:szCs w:val="26"/>
    </w:rPr>
  </w:style>
  <w:style w:type="paragraph" w:styleId="686">
    <w:name w:val="Heading 5"/>
    <w:basedOn w:val="854"/>
    <w:next w:val="854"/>
    <w:link w:val="68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7">
    <w:name w:val="Heading 5 Char"/>
    <w:basedOn w:val="855"/>
    <w:link w:val="686"/>
    <w:uiPriority w:val="9"/>
    <w:rPr>
      <w:rFonts w:ascii="Arial" w:hAnsi="Arial" w:eastAsia="Arial" w:cs="Arial"/>
      <w:b/>
      <w:bCs/>
      <w:sz w:val="24"/>
      <w:szCs w:val="24"/>
    </w:rPr>
  </w:style>
  <w:style w:type="paragraph" w:styleId="688">
    <w:name w:val="Heading 6"/>
    <w:basedOn w:val="854"/>
    <w:next w:val="854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9">
    <w:name w:val="Heading 6 Char"/>
    <w:basedOn w:val="855"/>
    <w:link w:val="688"/>
    <w:uiPriority w:val="9"/>
    <w:rPr>
      <w:rFonts w:ascii="Arial" w:hAnsi="Arial" w:eastAsia="Arial" w:cs="Arial"/>
      <w:b/>
      <w:bCs/>
      <w:sz w:val="22"/>
      <w:szCs w:val="22"/>
    </w:rPr>
  </w:style>
  <w:style w:type="paragraph" w:styleId="690">
    <w:name w:val="Heading 7"/>
    <w:basedOn w:val="854"/>
    <w:next w:val="854"/>
    <w:link w:val="69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1">
    <w:name w:val="Heading 7 Char"/>
    <w:basedOn w:val="855"/>
    <w:link w:val="69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2">
    <w:name w:val="Heading 8"/>
    <w:basedOn w:val="854"/>
    <w:next w:val="854"/>
    <w:link w:val="6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3">
    <w:name w:val="Heading 8 Char"/>
    <w:basedOn w:val="855"/>
    <w:link w:val="692"/>
    <w:uiPriority w:val="9"/>
    <w:rPr>
      <w:rFonts w:ascii="Arial" w:hAnsi="Arial" w:eastAsia="Arial" w:cs="Arial"/>
      <w:i/>
      <w:iCs/>
      <w:sz w:val="22"/>
      <w:szCs w:val="22"/>
    </w:rPr>
  </w:style>
  <w:style w:type="paragraph" w:styleId="694">
    <w:name w:val="Heading 9"/>
    <w:basedOn w:val="854"/>
    <w:next w:val="854"/>
    <w:link w:val="69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5">
    <w:name w:val="Heading 9 Char"/>
    <w:basedOn w:val="855"/>
    <w:link w:val="694"/>
    <w:uiPriority w:val="9"/>
    <w:rPr>
      <w:rFonts w:ascii="Arial" w:hAnsi="Arial" w:eastAsia="Arial" w:cs="Arial"/>
      <w:i/>
      <w:iCs/>
      <w:sz w:val="21"/>
      <w:szCs w:val="21"/>
    </w:rPr>
  </w:style>
  <w:style w:type="paragraph" w:styleId="696">
    <w:name w:val="List Paragraph"/>
    <w:basedOn w:val="854"/>
    <w:uiPriority w:val="34"/>
    <w:qFormat/>
    <w:pPr>
      <w:contextualSpacing/>
      <w:ind w:left="720"/>
    </w:pPr>
  </w:style>
  <w:style w:type="paragraph" w:styleId="697">
    <w:name w:val="No Spacing"/>
    <w:uiPriority w:val="1"/>
    <w:qFormat/>
    <w:pPr>
      <w:spacing w:before="0" w:after="0" w:line="240" w:lineRule="auto"/>
    </w:pPr>
  </w:style>
  <w:style w:type="paragraph" w:styleId="698">
    <w:name w:val="Title"/>
    <w:basedOn w:val="854"/>
    <w:next w:val="854"/>
    <w:link w:val="69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9">
    <w:name w:val="Title Char"/>
    <w:basedOn w:val="855"/>
    <w:link w:val="698"/>
    <w:uiPriority w:val="10"/>
    <w:rPr>
      <w:sz w:val="48"/>
      <w:szCs w:val="48"/>
    </w:rPr>
  </w:style>
  <w:style w:type="paragraph" w:styleId="700">
    <w:name w:val="Subtitle"/>
    <w:basedOn w:val="854"/>
    <w:next w:val="854"/>
    <w:link w:val="701"/>
    <w:uiPriority w:val="11"/>
    <w:qFormat/>
    <w:pPr>
      <w:spacing w:before="200" w:after="200"/>
    </w:pPr>
    <w:rPr>
      <w:sz w:val="24"/>
      <w:szCs w:val="24"/>
    </w:rPr>
  </w:style>
  <w:style w:type="character" w:styleId="701">
    <w:name w:val="Subtitle Char"/>
    <w:basedOn w:val="855"/>
    <w:link w:val="700"/>
    <w:uiPriority w:val="11"/>
    <w:rPr>
      <w:sz w:val="24"/>
      <w:szCs w:val="24"/>
    </w:rPr>
  </w:style>
  <w:style w:type="paragraph" w:styleId="702">
    <w:name w:val="Quote"/>
    <w:basedOn w:val="854"/>
    <w:next w:val="854"/>
    <w:link w:val="703"/>
    <w:uiPriority w:val="29"/>
    <w:qFormat/>
    <w:pPr>
      <w:ind w:left="720" w:right="720"/>
    </w:pPr>
    <w:rPr>
      <w:i/>
    </w:rPr>
  </w:style>
  <w:style w:type="character" w:styleId="703">
    <w:name w:val="Quote Char"/>
    <w:link w:val="702"/>
    <w:uiPriority w:val="29"/>
    <w:rPr>
      <w:i/>
    </w:rPr>
  </w:style>
  <w:style w:type="paragraph" w:styleId="704">
    <w:name w:val="Intense Quote"/>
    <w:basedOn w:val="854"/>
    <w:next w:val="854"/>
    <w:link w:val="70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5">
    <w:name w:val="Intense Quote Char"/>
    <w:link w:val="704"/>
    <w:uiPriority w:val="30"/>
    <w:rPr>
      <w:i/>
    </w:rPr>
  </w:style>
  <w:style w:type="character" w:styleId="706">
    <w:name w:val="Header Char"/>
    <w:basedOn w:val="855"/>
    <w:link w:val="861"/>
    <w:uiPriority w:val="99"/>
  </w:style>
  <w:style w:type="character" w:styleId="707">
    <w:name w:val="Footer Char"/>
    <w:basedOn w:val="855"/>
    <w:link w:val="863"/>
    <w:uiPriority w:val="99"/>
  </w:style>
  <w:style w:type="paragraph" w:styleId="708">
    <w:name w:val="Caption"/>
    <w:basedOn w:val="854"/>
    <w:next w:val="85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9">
    <w:name w:val="Caption Char"/>
    <w:basedOn w:val="708"/>
    <w:link w:val="863"/>
    <w:uiPriority w:val="99"/>
  </w:style>
  <w:style w:type="table" w:styleId="710">
    <w:name w:val="Table Grid"/>
    <w:basedOn w:val="85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1">
    <w:name w:val="Table Grid Light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2">
    <w:name w:val="Plain Table 1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>
    <w:name w:val="Grid Table 4 - Accent 1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0">
    <w:name w:val="Grid Table 4 - Accent 2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1">
    <w:name w:val="Grid Table 4 - Accent 3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2">
    <w:name w:val="Grid Table 4 - Accent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3">
    <w:name w:val="Grid Table 4 - Accent 5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4">
    <w:name w:val="Grid Table 4 - Accent 6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5">
    <w:name w:val="Grid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49">
    <w:name w:val="Grid Table 5 Dark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50">
    <w:name w:val="Grid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51">
    <w:name w:val="Grid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52">
    <w:name w:val="Grid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3">
    <w:name w:val="Grid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4">
    <w:name w:val="Grid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5">
    <w:name w:val="Grid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6">
    <w:name w:val="Grid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7">
    <w:name w:val="Grid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8">
    <w:name w:val="Grid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9">
    <w:name w:val="Grid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4">
    <w:name w:val="List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5">
    <w:name w:val="List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6">
    <w:name w:val="List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7">
    <w:name w:val="List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8">
    <w:name w:val="List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9">
    <w:name w:val="List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2">
    <w:name w:val="List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3">
    <w:name w:val="List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4">
    <w:name w:val="List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5">
    <w:name w:val="List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6">
    <w:name w:val="List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7">
    <w:name w:val="List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8">
    <w:name w:val="List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9">
    <w:name w:val="List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10">
    <w:name w:val="List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11">
    <w:name w:val="List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12">
    <w:name w:val="List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13">
    <w:name w:val="List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14">
    <w:name w:val="List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15">
    <w:name w:val="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6">
    <w:name w:val="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17">
    <w:name w:val="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18">
    <w:name w:val="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19">
    <w:name w:val="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0">
    <w:name w:val="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21">
    <w:name w:val="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2">
    <w:name w:val="Bordered &amp; 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3">
    <w:name w:val="Bordered &amp; 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24">
    <w:name w:val="Bordered &amp; 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25">
    <w:name w:val="Bordered &amp; 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26">
    <w:name w:val="Bordered &amp; 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7">
    <w:name w:val="Bordered &amp; 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28">
    <w:name w:val="Bordered &amp; 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9">
    <w:name w:val="Bordered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0">
    <w:name w:val="Bordered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1">
    <w:name w:val="Bordered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2">
    <w:name w:val="Bordered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3">
    <w:name w:val="Bordered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4">
    <w:name w:val="Bordered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5">
    <w:name w:val="Bordered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6">
    <w:name w:val="Hyperlink"/>
    <w:uiPriority w:val="99"/>
    <w:unhideWhenUsed/>
    <w:rPr>
      <w:color w:val="0000ff" w:themeColor="hyperlink"/>
      <w:u w:val="single"/>
    </w:rPr>
  </w:style>
  <w:style w:type="paragraph" w:styleId="837">
    <w:name w:val="footnote text"/>
    <w:basedOn w:val="854"/>
    <w:link w:val="838"/>
    <w:uiPriority w:val="99"/>
    <w:semiHidden/>
    <w:unhideWhenUsed/>
    <w:pPr>
      <w:spacing w:after="40" w:line="240" w:lineRule="auto"/>
    </w:pPr>
    <w:rPr>
      <w:sz w:val="18"/>
    </w:rPr>
  </w:style>
  <w:style w:type="character" w:styleId="838">
    <w:name w:val="Footnote Text Char"/>
    <w:link w:val="837"/>
    <w:uiPriority w:val="99"/>
    <w:rPr>
      <w:sz w:val="18"/>
    </w:rPr>
  </w:style>
  <w:style w:type="character" w:styleId="839">
    <w:name w:val="footnote reference"/>
    <w:basedOn w:val="855"/>
    <w:uiPriority w:val="99"/>
    <w:unhideWhenUsed/>
    <w:rPr>
      <w:vertAlign w:val="superscript"/>
    </w:rPr>
  </w:style>
  <w:style w:type="paragraph" w:styleId="840">
    <w:name w:val="endnote text"/>
    <w:basedOn w:val="854"/>
    <w:link w:val="841"/>
    <w:uiPriority w:val="99"/>
    <w:semiHidden/>
    <w:unhideWhenUsed/>
    <w:pPr>
      <w:spacing w:after="0" w:line="240" w:lineRule="auto"/>
    </w:pPr>
    <w:rPr>
      <w:sz w:val="20"/>
    </w:rPr>
  </w:style>
  <w:style w:type="character" w:styleId="841">
    <w:name w:val="Endnote Text Char"/>
    <w:link w:val="840"/>
    <w:uiPriority w:val="99"/>
    <w:rPr>
      <w:sz w:val="20"/>
    </w:rPr>
  </w:style>
  <w:style w:type="character" w:styleId="842">
    <w:name w:val="endnote reference"/>
    <w:basedOn w:val="855"/>
    <w:uiPriority w:val="99"/>
    <w:semiHidden/>
    <w:unhideWhenUsed/>
    <w:rPr>
      <w:vertAlign w:val="superscript"/>
    </w:rPr>
  </w:style>
  <w:style w:type="paragraph" w:styleId="843">
    <w:name w:val="toc 1"/>
    <w:basedOn w:val="854"/>
    <w:next w:val="854"/>
    <w:uiPriority w:val="39"/>
    <w:unhideWhenUsed/>
    <w:pPr>
      <w:ind w:left="0" w:right="0" w:firstLine="0"/>
      <w:spacing w:after="57"/>
    </w:pPr>
  </w:style>
  <w:style w:type="paragraph" w:styleId="844">
    <w:name w:val="toc 2"/>
    <w:basedOn w:val="854"/>
    <w:next w:val="854"/>
    <w:uiPriority w:val="39"/>
    <w:unhideWhenUsed/>
    <w:pPr>
      <w:ind w:left="283" w:right="0" w:firstLine="0"/>
      <w:spacing w:after="57"/>
    </w:pPr>
  </w:style>
  <w:style w:type="paragraph" w:styleId="845">
    <w:name w:val="toc 3"/>
    <w:basedOn w:val="854"/>
    <w:next w:val="854"/>
    <w:uiPriority w:val="39"/>
    <w:unhideWhenUsed/>
    <w:pPr>
      <w:ind w:left="567" w:right="0" w:firstLine="0"/>
      <w:spacing w:after="57"/>
    </w:pPr>
  </w:style>
  <w:style w:type="paragraph" w:styleId="846">
    <w:name w:val="toc 4"/>
    <w:basedOn w:val="854"/>
    <w:next w:val="854"/>
    <w:uiPriority w:val="39"/>
    <w:unhideWhenUsed/>
    <w:pPr>
      <w:ind w:left="850" w:right="0" w:firstLine="0"/>
      <w:spacing w:after="57"/>
    </w:pPr>
  </w:style>
  <w:style w:type="paragraph" w:styleId="847">
    <w:name w:val="toc 5"/>
    <w:basedOn w:val="854"/>
    <w:next w:val="854"/>
    <w:uiPriority w:val="39"/>
    <w:unhideWhenUsed/>
    <w:pPr>
      <w:ind w:left="1134" w:right="0" w:firstLine="0"/>
      <w:spacing w:after="57"/>
    </w:pPr>
  </w:style>
  <w:style w:type="paragraph" w:styleId="848">
    <w:name w:val="toc 6"/>
    <w:basedOn w:val="854"/>
    <w:next w:val="854"/>
    <w:uiPriority w:val="39"/>
    <w:unhideWhenUsed/>
    <w:pPr>
      <w:ind w:left="1417" w:right="0" w:firstLine="0"/>
      <w:spacing w:after="57"/>
    </w:pPr>
  </w:style>
  <w:style w:type="paragraph" w:styleId="849">
    <w:name w:val="toc 7"/>
    <w:basedOn w:val="854"/>
    <w:next w:val="854"/>
    <w:uiPriority w:val="39"/>
    <w:unhideWhenUsed/>
    <w:pPr>
      <w:ind w:left="1701" w:right="0" w:firstLine="0"/>
      <w:spacing w:after="57"/>
    </w:pPr>
  </w:style>
  <w:style w:type="paragraph" w:styleId="850">
    <w:name w:val="toc 8"/>
    <w:basedOn w:val="854"/>
    <w:next w:val="854"/>
    <w:uiPriority w:val="39"/>
    <w:unhideWhenUsed/>
    <w:pPr>
      <w:ind w:left="1984" w:right="0" w:firstLine="0"/>
      <w:spacing w:after="57"/>
    </w:pPr>
  </w:style>
  <w:style w:type="paragraph" w:styleId="851">
    <w:name w:val="toc 9"/>
    <w:basedOn w:val="854"/>
    <w:next w:val="854"/>
    <w:uiPriority w:val="39"/>
    <w:unhideWhenUsed/>
    <w:pPr>
      <w:ind w:left="2268" w:right="0" w:firstLine="0"/>
      <w:spacing w:after="57"/>
    </w:pPr>
  </w:style>
  <w:style w:type="paragraph" w:styleId="852">
    <w:name w:val="TOC Heading"/>
    <w:uiPriority w:val="39"/>
    <w:unhideWhenUsed/>
  </w:style>
  <w:style w:type="paragraph" w:styleId="853">
    <w:name w:val="table of figures"/>
    <w:basedOn w:val="854"/>
    <w:next w:val="854"/>
    <w:uiPriority w:val="99"/>
    <w:unhideWhenUsed/>
    <w:pPr>
      <w:spacing w:after="0" w:afterAutospacing="0"/>
    </w:pPr>
  </w:style>
  <w:style w:type="paragraph" w:styleId="854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8"/>
      <w:lang w:eastAsia="ru-RU"/>
    </w:rPr>
  </w:style>
  <w:style w:type="character" w:styleId="855" w:default="1">
    <w:name w:val="Default Paragraph Font"/>
    <w:uiPriority w:val="1"/>
    <w:semiHidden/>
    <w:unhideWhenUsed/>
  </w:style>
  <w:style w:type="table" w:styleId="85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7" w:default="1">
    <w:name w:val="No List"/>
    <w:uiPriority w:val="99"/>
    <w:semiHidden/>
    <w:unhideWhenUsed/>
  </w:style>
  <w:style w:type="paragraph" w:styleId="858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859">
    <w:name w:val="Balloon Text"/>
    <w:basedOn w:val="854"/>
    <w:link w:val="860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860" w:customStyle="1">
    <w:name w:val="Текст выноски Знак"/>
    <w:basedOn w:val="855"/>
    <w:link w:val="859"/>
    <w:uiPriority w:val="99"/>
    <w:semiHidden/>
    <w:rPr>
      <w:rFonts w:ascii="Segoe UI" w:hAnsi="Segoe UI" w:eastAsia="Times New Roman" w:cs="Segoe UI"/>
      <w:sz w:val="18"/>
      <w:szCs w:val="18"/>
      <w:lang w:eastAsia="ru-RU"/>
    </w:rPr>
  </w:style>
  <w:style w:type="paragraph" w:styleId="861">
    <w:name w:val="Header"/>
    <w:basedOn w:val="854"/>
    <w:link w:val="862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62" w:customStyle="1">
    <w:name w:val="Верхний колонтитул Знак"/>
    <w:basedOn w:val="855"/>
    <w:link w:val="861"/>
    <w:uiPriority w:val="99"/>
    <w:rPr>
      <w:rFonts w:ascii="Times New Roman" w:hAnsi="Times New Roman" w:eastAsia="Times New Roman" w:cs="Times New Roman"/>
      <w:sz w:val="28"/>
      <w:szCs w:val="28"/>
      <w:lang w:eastAsia="ru-RU"/>
    </w:rPr>
  </w:style>
  <w:style w:type="paragraph" w:styleId="863">
    <w:name w:val="Footer"/>
    <w:basedOn w:val="854"/>
    <w:link w:val="864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64" w:customStyle="1">
    <w:name w:val="Нижний колонтитул Знак"/>
    <w:basedOn w:val="855"/>
    <w:link w:val="863"/>
    <w:uiPriority w:val="99"/>
    <w:rPr>
      <w:rFonts w:ascii="Times New Roman" w:hAnsi="Times New Roman" w:eastAsia="Times New Roman" w:cs="Times New Roman"/>
      <w:sz w:val="28"/>
      <w:szCs w:val="28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>Правительство Новосибирской области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 Сергей Борисович</dc:creator>
  <cp:revision>8</cp:revision>
  <dcterms:created xsi:type="dcterms:W3CDTF">2023-11-27T08:55:00Z</dcterms:created>
  <dcterms:modified xsi:type="dcterms:W3CDTF">2024-02-20T02:52:44Z</dcterms:modified>
</cp:coreProperties>
</file>