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8"/>
        </w:rPr>
      </w:pPr>
      <w:r>
        <w:rPr>
          <w:b/>
          <w:sz w:val="28"/>
        </w:rPr>
        <w:t xml:space="preserve">Статья «ЖКХ – стоимость угля для граждан»</w:t>
      </w:r>
    </w:p>
    <w:p>
      <w:pPr>
        <w:rPr>
          <w:b/>
          <w:sz w:val="28"/>
        </w:rPr>
      </w:pP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соответствии с постановлением Правительства Российской Федерации от 07.03.1995 № 239 «О мерах по упорядочению государственного регулирования цен (тарифов)» государственное регулирование цен (тарифов) на топливо твердое, реализуемое гражданам,  на внутреннем рынке Российской Федерации, осуществляется органами исполнительной власти субъектов Российской Федерации.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Согласно, утвержденному приказом Росстандарта от 23.03.2016 № 203-ст, ГОСТу 27313-2015 «Топливо твердое минеральное. Обозначение показателей качества и формулы перерасчета результатов анализа на различные состояния топлива» уголь является твердым минеральным топливом.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Приказами Департаментом по тарифам Новосибирской области ежегодно  устанавливаются тарифы розничных предельных максимальных цен на уголь, реализуемый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(приказ № 493-ТС/НПА от 12.12.2023; приказ от 19.12.2024 № 547-ТС/НПА).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проводимых проверок прокуратурой района</w:t>
      </w:r>
      <w:r>
        <w:rPr>
          <w:rFonts w:ascii="Times New Roman" w:hAnsi="Times New Roman"/>
          <w:sz w:val="28"/>
        </w:rPr>
        <w:t xml:space="preserve"> установлено, что</w:t>
      </w:r>
      <w:r>
        <w:rPr>
          <w:rFonts w:ascii="Times New Roman" w:hAnsi="Times New Roman"/>
          <w:sz w:val="28"/>
        </w:rPr>
        <w:t xml:space="preserve"> организациями, осуществляющими реализацию угля населению, предоставляется дополнительная услуга по «предпродажной подготовке каменного угля». 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услуга является добровольной и предоставляется по заявлению самого потребителя (гражданина).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Незаконное «навязывание» гражданам указанной услуги приводит к росту  фактической стоимости предлагаемого товара – угля. Наценка на стоимость угля, в виде предпродажной подготовки, противоречит политике по регулированию государством рассматриваемых цен.</w:t>
      </w:r>
    </w:p>
    <w:p>
      <w:p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организациями, осуществляющими реализацию твердого топлива (угля) гражданам, путем «навязывания» дополнительных услуг,  незаконно завышается фактическая стоимость реализуемого угля.</w:t>
      </w:r>
    </w:p>
    <w:p>
      <w:pPr>
        <w:rPr>
          <w:b/>
          <w:sz w:val="28"/>
        </w:rPr>
      </w:pPr>
    </w:p>
    <w:p>
      <w:pPr>
        <w:pStyle w:val="Style_1"/>
        <w:widowControl/>
        <w:ind w:left="0" w:right="140" w:firstLine="709"/>
        <w:jc w:val="both"/>
        <w:rPr>
          <w:rFonts w:ascii="Times New Roman" w:hAnsi="Times New Roman"/>
          <w:sz w:val="28"/>
        </w:rPr>
      </w:pPr>
    </w:p>
    <w:p>
      <w:pPr>
        <w:pStyle w:val="Style_2"/>
        <w:ind w:left="0" w:firstLine="709"/>
        <w:jc w:val="both"/>
        <w:rPr>
          <w:rFonts w:ascii="Times New Roman" w:hAnsi="Times New Roman"/>
          <w:sz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XO Thames">
    <w:panose1 w:val="00000709000000000000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3" w:default="1">
    <w:name w:val="Normal"/>
    <w:link w:val="Style_3_ch"/>
    <w:uiPriority w:val="0"/>
    <w:qFormat/>
    <w:rPr>
      <w:sz w:val="24"/>
    </w:rPr>
  </w:style>
  <w:style w:type="character" w:styleId="Style_3_ch" w:default="1">
    <w:name w:val="Normal"/>
    <w:link w:val="Style_3"/>
    <w:rPr>
      <w:sz w:val="24"/>
    </w:rPr>
  </w:style>
  <w:style w:type="paragraph" w:styleId="Style_4">
    <w:name w:val="toc 2"/>
    <w:next w:val="Style_3"/>
    <w:link w:val="Style_4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4_ch">
    <w:name w:val="toc 2"/>
    <w:link w:val="Style_4"/>
    <w:rPr>
      <w:rFonts w:ascii="XO Thames" w:hAnsi="XO Thames"/>
      <w:sz w:val="28"/>
    </w:rPr>
  </w:style>
  <w:style w:type="paragraph" w:styleId="Style_5">
    <w:name w:val="toc 4"/>
    <w:next w:val="Style_3"/>
    <w:link w:val="Style_5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5_ch">
    <w:name w:val="toc 4"/>
    <w:link w:val="Style_5"/>
    <w:rPr>
      <w:rFonts w:ascii="XO Thames" w:hAnsi="XO Thames"/>
      <w:sz w:val="28"/>
    </w:rPr>
  </w:style>
  <w:style w:type="paragraph" w:styleId="Style_6">
    <w:name w:val="toc 6"/>
    <w:next w:val="Style_3"/>
    <w:link w:val="Style_6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6_ch">
    <w:name w:val="toc 6"/>
    <w:link w:val="Style_6"/>
    <w:rPr>
      <w:rFonts w:ascii="XO Thames" w:hAnsi="XO Thames"/>
      <w:sz w:val="28"/>
    </w:rPr>
  </w:style>
  <w:style w:type="paragraph" w:styleId="Style_7">
    <w:name w:val="Balloon Text"/>
    <w:basedOn w:val="Style_3"/>
    <w:link w:val="Style_7_ch"/>
    <w:rPr>
      <w:rFonts w:ascii="Tahoma" w:hAnsi="Tahoma"/>
      <w:sz w:val="16"/>
    </w:rPr>
  </w:style>
  <w:style w:type="character" w:styleId="Style_7_ch">
    <w:name w:val="Balloon Text"/>
    <w:basedOn w:val="Style_3_ch"/>
    <w:link w:val="Style_7"/>
    <w:rPr>
      <w:rFonts w:ascii="Tahoma" w:hAnsi="Tahoma"/>
      <w:sz w:val="16"/>
    </w:rPr>
  </w:style>
  <w:style w:type="paragraph" w:styleId="Style_8">
    <w:name w:val="toc 7"/>
    <w:next w:val="Style_3"/>
    <w:link w:val="Style_8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8_ch">
    <w:name w:val="toc 7"/>
    <w:link w:val="Style_8"/>
    <w:rPr>
      <w:rFonts w:ascii="XO Thames" w:hAnsi="XO Thames"/>
      <w:sz w:val="28"/>
    </w:rPr>
  </w:style>
  <w:style w:type="paragraph" w:styleId="Style_9">
    <w:name w:val="Normal (Web)"/>
    <w:basedOn w:val="Style_3"/>
    <w:link w:val="Style_9_ch"/>
    <w:pPr>
      <w:spacing w:beforeAutospacing="1" w:afterAutospacing="1"/>
    </w:pPr>
  </w:style>
  <w:style w:type="character" w:styleId="Style_9_ch">
    <w:name w:val="Normal (Web)"/>
    <w:basedOn w:val="Style_3_ch"/>
    <w:link w:val="Style_9"/>
  </w:style>
  <w:style w:type="paragraph" w:styleId="Style_10">
    <w:name w:val="Endnote"/>
    <w:link w:val="Style_10_ch"/>
    <w:pPr>
      <w:ind w:left="0" w:firstLine="851"/>
      <w:jc w:val="both"/>
    </w:pPr>
    <w:rPr>
      <w:rFonts w:ascii="XO Thames" w:hAnsi="XO Thames"/>
      <w:sz w:val="22"/>
    </w:rPr>
  </w:style>
  <w:style w:type="character" w:styleId="Style_10_ch">
    <w:name w:val="Endnote"/>
    <w:link w:val="Style_10"/>
    <w:rPr>
      <w:rFonts w:ascii="XO Thames" w:hAnsi="XO Thames"/>
      <w:sz w:val="22"/>
    </w:rPr>
  </w:style>
  <w:style w:type="paragraph" w:styleId="Style_11">
    <w:name w:val="heading 3"/>
    <w:next w:val="Style_3"/>
    <w:link w:val="Style_11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Style_11_ch">
    <w:name w:val="heading 3"/>
    <w:link w:val="Style_11"/>
    <w:rPr>
      <w:rFonts w:ascii="XO Thames" w:hAnsi="XO Thames"/>
      <w:b/>
      <w:sz w:val="26"/>
    </w:rPr>
  </w:style>
  <w:style w:type="paragraph" w:styleId="Style_2">
    <w:name w:val="No Spacing"/>
    <w:link w:val="Style_2_ch"/>
    <w:rPr>
      <w:rFonts w:ascii="Calibri" w:hAnsi="Calibri"/>
      <w:sz w:val="22"/>
    </w:rPr>
  </w:style>
  <w:style w:type="character" w:styleId="Style_2_ch">
    <w:name w:val="No Spacing"/>
    <w:link w:val="Style_2"/>
    <w:rPr>
      <w:rFonts w:ascii="Calibri" w:hAnsi="Calibri"/>
      <w:sz w:val="22"/>
    </w:rPr>
  </w:style>
  <w:style w:type="paragraph" w:styleId="Style_12">
    <w:name w:val="Body Text"/>
    <w:basedOn w:val="Style_3"/>
    <w:link w:val="Style_12_ch"/>
    <w:pPr>
      <w:jc w:val="both"/>
    </w:pPr>
  </w:style>
  <w:style w:type="character" w:styleId="Style_12_ch">
    <w:name w:val="Body Text"/>
    <w:basedOn w:val="Style_3_ch"/>
    <w:link w:val="Style_12"/>
  </w:style>
  <w:style w:type="paragraph" w:styleId="Style_13">
    <w:name w:val="toc 3"/>
    <w:next w:val="Style_3"/>
    <w:link w:val="Style_13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13_ch">
    <w:name w:val="toc 3"/>
    <w:link w:val="Style_13"/>
    <w:rPr>
      <w:rFonts w:ascii="XO Thames" w:hAnsi="XO Thames"/>
      <w:sz w:val="28"/>
    </w:rPr>
  </w:style>
  <w:style w:type="paragraph" w:styleId="Style_1">
    <w:name w:val="ConsNonformat"/>
    <w:link w:val="Style_1_ch"/>
    <w:pPr>
      <w:widowControl w:val="off"/>
    </w:pPr>
    <w:rPr>
      <w:rFonts w:ascii="Courier New" w:hAnsi="Courier New"/>
      <w:sz w:val="24"/>
    </w:rPr>
  </w:style>
  <w:style w:type="character" w:styleId="Style_1_ch">
    <w:name w:val="ConsNonformat"/>
    <w:link w:val="Style_1"/>
    <w:rPr>
      <w:rFonts w:ascii="Courier New" w:hAnsi="Courier New"/>
      <w:sz w:val="24"/>
    </w:rPr>
  </w:style>
  <w:style w:type="paragraph" w:styleId="Style_14">
    <w:name w:val="heading 5"/>
    <w:next w:val="Style_3"/>
    <w:link w:val="Style_14_ch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yle_14_ch">
    <w:name w:val="heading 5"/>
    <w:link w:val="Style_14"/>
    <w:rPr>
      <w:rFonts w:ascii="XO Thames" w:hAnsi="XO Thames"/>
      <w:b/>
      <w:sz w:val="22"/>
    </w:rPr>
  </w:style>
  <w:style w:type="paragraph" w:styleId="Style_15">
    <w:name w:val="heading 1"/>
    <w:next w:val="Style_3"/>
    <w:link w:val="Style_15_ch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styleId="Style_15_ch">
    <w:name w:val="heading 1"/>
    <w:link w:val="Style_15"/>
    <w:rPr>
      <w:rFonts w:ascii="XO Thames" w:hAnsi="XO Thames"/>
      <w:b/>
      <w:sz w:val="32"/>
    </w:rPr>
  </w:style>
  <w:style w:type="paragraph" w:styleId="Style_16">
    <w:name w:val="Hyperlink"/>
    <w:link w:val="Style_16_ch"/>
    <w:rPr>
      <w:color w:val="0000ff"/>
      <w:u w:val="single"/>
    </w:rPr>
  </w:style>
  <w:style w:type="character" w:styleId="Style_16_ch">
    <w:name w:val="Hyperlink"/>
    <w:link w:val="Style_16"/>
    <w:rPr>
      <w:color w:val="0000ff"/>
      <w:u w:val="single"/>
    </w:rPr>
  </w:style>
  <w:style w:type="paragraph" w:styleId="Style_17">
    <w:name w:val="Footnote"/>
    <w:link w:val="Style_17_ch"/>
    <w:pPr>
      <w:ind w:left="0" w:firstLine="851"/>
      <w:jc w:val="both"/>
    </w:pPr>
    <w:rPr>
      <w:rFonts w:ascii="XO Thames" w:hAnsi="XO Thames"/>
      <w:sz w:val="22"/>
    </w:rPr>
  </w:style>
  <w:style w:type="character" w:styleId="Style_17_ch">
    <w:name w:val="Footnote"/>
    <w:link w:val="Style_17"/>
    <w:rPr>
      <w:rFonts w:ascii="XO Thames" w:hAnsi="XO Thames"/>
      <w:sz w:val="22"/>
    </w:rPr>
  </w:style>
  <w:style w:type="paragraph" w:styleId="Style_18">
    <w:name w:val="toc 1"/>
    <w:next w:val="Style_3"/>
    <w:link w:val="Style_18_ch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Style_18_ch">
    <w:name w:val="toc 1"/>
    <w:link w:val="Style_18"/>
    <w:rPr>
      <w:rFonts w:ascii="XO Thames" w:hAnsi="XO Thames"/>
      <w:b/>
      <w:sz w:val="28"/>
    </w:rPr>
  </w:style>
  <w:style w:type="paragraph" w:styleId="Style_19">
    <w:name w:val="Header and Footer"/>
    <w:link w:val="Style_19_ch"/>
    <w:pPr>
      <w:spacing w:line="240" w:lineRule="auto"/>
      <w:jc w:val="both"/>
    </w:pPr>
    <w:rPr>
      <w:rFonts w:ascii="XO Thames" w:hAnsi="XO Thames"/>
      <w:sz w:val="28"/>
    </w:rPr>
  </w:style>
  <w:style w:type="character" w:styleId="Style_19_ch">
    <w:name w:val="Header and Footer"/>
    <w:link w:val="Style_19"/>
    <w:rPr>
      <w:rFonts w:ascii="XO Thames" w:hAnsi="XO Thames"/>
      <w:sz w:val="28"/>
    </w:rPr>
  </w:style>
  <w:style w:type="paragraph" w:styleId="Style_20">
    <w:name w:val="toc 9"/>
    <w:next w:val="Style_3"/>
    <w:link w:val="Style_20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20_ch">
    <w:name w:val="toc 9"/>
    <w:link w:val="Style_20"/>
    <w:rPr>
      <w:rFonts w:ascii="XO Thames" w:hAnsi="XO Thames"/>
      <w:sz w:val="28"/>
    </w:rPr>
  </w:style>
  <w:style w:type="paragraph" w:styleId="Style_21">
    <w:name w:val="toc 8"/>
    <w:next w:val="Style_3"/>
    <w:link w:val="Style_21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21_ch">
    <w:name w:val="toc 8"/>
    <w:link w:val="Style_21"/>
    <w:rPr>
      <w:rFonts w:ascii="XO Thames" w:hAnsi="XO Thames"/>
      <w:sz w:val="28"/>
    </w:rPr>
  </w:style>
  <w:style w:type="paragraph" w:styleId="Style_22">
    <w:name w:val="toc 5"/>
    <w:next w:val="Style_3"/>
    <w:link w:val="Style_22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22_ch">
    <w:name w:val="toc 5"/>
    <w:link w:val="Style_22"/>
    <w:rPr>
      <w:rFonts w:ascii="XO Thames" w:hAnsi="XO Thames"/>
      <w:sz w:val="28"/>
    </w:rPr>
  </w:style>
  <w:style w:type="paragraph" w:styleId="Style_23">
    <w:name w:val="Subtitle"/>
    <w:next w:val="Style_3"/>
    <w:link w:val="Style_23_ch"/>
    <w:uiPriority w:val="11"/>
    <w:qFormat/>
    <w:pPr>
      <w:jc w:val="both"/>
    </w:pPr>
    <w:rPr>
      <w:rFonts w:ascii="XO Thames" w:hAnsi="XO Thames"/>
      <w:i/>
      <w:sz w:val="24"/>
    </w:rPr>
  </w:style>
  <w:style w:type="character" w:styleId="Style_23_ch">
    <w:name w:val="Subtitle"/>
    <w:link w:val="Style_23"/>
    <w:rPr>
      <w:rFonts w:ascii="XO Thames" w:hAnsi="XO Thames"/>
      <w:i/>
      <w:sz w:val="24"/>
    </w:rPr>
  </w:style>
  <w:style w:type="paragraph" w:styleId="Style_24">
    <w:name w:val="Title"/>
    <w:next w:val="Style_3"/>
    <w:link w:val="Style_24_ch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Style_24_ch">
    <w:name w:val="Title"/>
    <w:link w:val="Style_24"/>
    <w:rPr>
      <w:rFonts w:ascii="XO Thames" w:hAnsi="XO Thames"/>
      <w:b/>
      <w:caps/>
      <w:sz w:val="40"/>
    </w:rPr>
  </w:style>
  <w:style w:type="paragraph" w:styleId="Style_25">
    <w:name w:val="heading 4"/>
    <w:next w:val="Style_3"/>
    <w:link w:val="Style_25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Style_25_ch">
    <w:name w:val="heading 4"/>
    <w:link w:val="Style_25"/>
    <w:rPr>
      <w:rFonts w:ascii="XO Thames" w:hAnsi="XO Thames"/>
      <w:b/>
      <w:sz w:val="24"/>
    </w:rPr>
  </w:style>
  <w:style w:type="paragraph" w:styleId="Style_26">
    <w:name w:val="heading 2"/>
    <w:next w:val="Style_3"/>
    <w:link w:val="Style_26_ch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styleId="Style_26_ch">
    <w:name w:val="heading 2"/>
    <w:link w:val="Style_26"/>
    <w:rPr>
      <w:rFonts w:ascii="XO Thames" w:hAnsi="XO Thames"/>
      <w:b/>
      <w:sz w:val="28"/>
    </w:rPr>
  </w:style>
  <w:style w:type="paragraph" w:styleId="Style_27">
    <w:name w:val="Default Paragraph Font"/>
    <w:link w:val="Style_27_ch"/>
  </w:style>
  <w:style w:type="character" w:styleId="Style_27_ch">
    <w:name w:val="Default Paragraph Font"/>
    <w:link w:val="Style_27"/>
  </w:style>
  <w:style w:type="table" w:styleId="Style_28">
    <w:name w:val="Table Grid"/>
    <w:basedOn w:val="Style_2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2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2025-09-22T05:13:15Z</dcterms:modified>
</cp:coreProperties>
</file>