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D1F" w:rsidRDefault="00061D1F" w:rsidP="00061D1F">
      <w:pPr>
        <w:spacing w:after="0" w:line="283" w:lineRule="atLeast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061D1F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ИНФОРМАЦИЯ, </w:t>
      </w:r>
    </w:p>
    <w:p w:rsidR="00061D1F" w:rsidRDefault="00061D1F" w:rsidP="00061D1F">
      <w:pPr>
        <w:spacing w:after="0" w:line="283" w:lineRule="atLeast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061D1F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>Подготовленная</w:t>
      </w:r>
      <w:r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 </w:t>
      </w:r>
      <w:r w:rsidRPr="00061D1F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 xml:space="preserve">ГКУ НСО </w:t>
      </w:r>
    </w:p>
    <w:p w:rsidR="00E23E89" w:rsidRDefault="00061D1F" w:rsidP="00061D1F">
      <w:pPr>
        <w:spacing w:after="0" w:line="283" w:lineRule="atLeast"/>
        <w:ind w:firstLine="567"/>
        <w:jc w:val="center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</w:pPr>
      <w:r w:rsidRPr="00061D1F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</w:rPr>
        <w:t>«Государственное юридическое бюро»</w:t>
      </w:r>
      <w:bookmarkStart w:id="0" w:name="_GoBack"/>
      <w:bookmarkEnd w:id="0"/>
    </w:p>
    <w:p w:rsidR="00061D1F" w:rsidRPr="00061D1F" w:rsidRDefault="00061D1F" w:rsidP="00061D1F">
      <w:pPr>
        <w:spacing w:after="0" w:line="283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Может ли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предпенсионер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получить накопительную часть пенсии?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Накопительная пенсия назначается раньше страховой. Женщины могут начать получать её в 55 лет, мужчины в 60. Оформить выплату можно как частями, так и единовременно.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Кто может обратиться за накопительной пенсией: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граждане, которые официально работали с 2002 по 2013 год;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те, кто платил добровольные пенсионные взносы;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люди, направившие материнский капитал на формирование пенсии.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 её выплачивают: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ежемесячно, бессрочно;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единовременно тем, у кого нет права на страховую пенсию или размер накопительной меньше общей суммы страховой и накопительной на 10%;</w:t>
      </w: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срочной пенсионной выплатой в течение 10 лет, которая складывается из материнского капитала, пенсионных отчислений и процентов от вкладов.</w:t>
      </w:r>
    </w:p>
    <w:p w:rsidR="00E23E89" w:rsidRDefault="00E23E89">
      <w:pPr>
        <w:spacing w:after="0" w:line="283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23E89" w:rsidRDefault="00704B5F">
      <w:pPr>
        <w:pStyle w:val="1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0" w:after="0" w:line="283" w:lineRule="atLeast"/>
        <w:ind w:firstLine="567"/>
        <w:jc w:val="both"/>
        <w:rPr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Надбавка к пенсии по уходу за пожилыми гражданами и инвалидами I группы </w:t>
      </w:r>
    </w:p>
    <w:p w:rsidR="00E23E89" w:rsidRDefault="00E23E8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Социальный фонд России компенсирует расходы, связанные с уходом за нетрудоспособными гражданами, к числу которых относятся: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люди с инвалидностью I группы;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люди старше 80 лет;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престарелые люди, нуждающиеся в постоянном уходе по заключению лечебного учреждения.</w:t>
      </w:r>
    </w:p>
    <w:p w:rsidR="00E23E89" w:rsidRDefault="00E23E8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Надбавка к пенсии на уход с 2025 года</w:t>
      </w:r>
    </w:p>
    <w:p w:rsidR="00E23E89" w:rsidRDefault="00E23E8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До конца 2024 года компенсация расходов по уходу производится путём выплаты 1200 руб. неработающим трудоспособным гражданам, которые заботятся о пожилых людях и инвалидах. 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 1 января 2025 года этот порядок будет изменен: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Компенсационные выплаты в связи с достижением 80-летнего возраста и инвалидностью I группы будут включены в состав пенсий, которую получают соответствующие категории пенсионеров. Одновременно гражданам, осуществляющим уход, будет прекращена выплата ранее установленных компенсаций и установление новых.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Продолжатся компенсационные выплаты, установленные в связи с уходом за престарелыми гражданами, которые нуждаются в постоянной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помощи других людей по заключению лечебного учреждения. Но новые такие выплаты больше устанавливаться не будут.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Пенсии граждан, имеющих инвалидность I группы или достигших 80-летнего возраста, с 1 января 2025 года увеличатся на 1200 рублей автоматически. И так же автоматически будут увеличиваться пенсии тех, у кого право на эту надбавку к пенсии возникнет в дальнейшем. Наличие лица, осуществляющего уход, для установления этой выплаты уже не потребуется. 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Пенсионер сам сможет решать, как лучше распорядиться полученными деньгами. При этом у него останется право обратиться в орган социальной защиты за назначением ухаживающего в рамках системы долговременного ухода.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Надбавка к пенсии на уход подлежит ежегодной индексации и увеличивается на районный коэффициент, установленный в районах Крайнего Севера, в приравненных к ним местностях и в районах с тяжелыми климатическими условиями (в пустынных и горных местностях Калмыкии, Ростовской области, Дагестана). </w:t>
      </w:r>
    </w:p>
    <w:p w:rsidR="00E23E89" w:rsidRDefault="00704B5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 наличии права на 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новременное получение двух пенсий надбавка на уход будет установлена к одной из пенсий.</w:t>
      </w:r>
    </w:p>
    <w:p w:rsidR="00E23E89" w:rsidRDefault="00E23E89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23E89" w:rsidRDefault="00704B5F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Индексация пенсий работающим пенсионерам</w:t>
      </w:r>
    </w:p>
    <w:p w:rsidR="00E23E89" w:rsidRDefault="00E23E89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</w:rPr>
      </w:pPr>
      <w:r>
        <w:rPr>
          <w:color w:val="212529"/>
          <w:sz w:val="28"/>
        </w:rPr>
        <w:t>Фонд пенсионного и социального страхования Российской Федерации возобновит индексацию выплат пенсионерам, продолжающим работать, в соответствии с поправками в Федеральный закон от 28.12.2013 № 400-ФЗ</w:t>
      </w:r>
      <w:r>
        <w:rPr>
          <w:color w:val="212529"/>
          <w:sz w:val="28"/>
        </w:rPr>
        <w:br/>
        <w:t>«О страховых пенсиях», которые вступают в силу со следующего года.</w:t>
      </w: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</w:rPr>
      </w:pPr>
      <w:r>
        <w:rPr>
          <w:color w:val="212529"/>
          <w:sz w:val="28"/>
          <w:shd w:val="clear" w:color="auto" w:fill="FFFFFF"/>
        </w:rPr>
        <w:t>Так, с 2025 года все виды страховых пенсий, включая пенсии по инвалидности и по потере кормильца, будут индексироваться независимо от выполнения получателем трудовой деятельности, с учетом инфляции за предыдущий год.</w:t>
      </w: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</w:rPr>
      </w:pPr>
      <w:r>
        <w:rPr>
          <w:color w:val="212529"/>
          <w:sz w:val="28"/>
          <w:shd w:val="clear" w:color="auto" w:fill="FFFFFF"/>
        </w:rPr>
        <w:t>Индексацию будут применять не к выплачиваемой пенсии, а к ее более высокому размеру, который включает пропущенные индексации.</w:t>
      </w: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  <w:shd w:val="clear" w:color="auto" w:fill="FFFFFF"/>
        </w:rPr>
      </w:pPr>
      <w:r>
        <w:rPr>
          <w:color w:val="212529"/>
          <w:sz w:val="28"/>
          <w:shd w:val="clear" w:color="auto" w:fill="FFFFFF"/>
        </w:rPr>
        <w:t>После увольнения пенсия вслед за прибавкой по индексации будет дополнительно увеличена исходя из всех пропущенных повышений.</w:t>
      </w:r>
    </w:p>
    <w:p w:rsidR="00E23E89" w:rsidRDefault="00E23E89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pacing w:val="3"/>
          <w:sz w:val="28"/>
        </w:rPr>
      </w:pP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b/>
          <w:color w:val="212529"/>
          <w:sz w:val="28"/>
          <w:szCs w:val="28"/>
          <w:shd w:val="clear" w:color="auto" w:fill="FFFFFF"/>
        </w:rPr>
      </w:pPr>
      <w:r>
        <w:rPr>
          <w:b/>
          <w:color w:val="212529"/>
          <w:sz w:val="28"/>
          <w:szCs w:val="28"/>
          <w:shd w:val="clear" w:color="auto" w:fill="FFFFFF"/>
        </w:rPr>
        <w:t>Негосударственные пенсионные фонды обеспечат безубыточность инвестиций</w:t>
      </w:r>
    </w:p>
    <w:p w:rsidR="00E23E89" w:rsidRDefault="00E23E89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pacing w:val="3"/>
          <w:sz w:val="28"/>
          <w:szCs w:val="28"/>
        </w:rPr>
      </w:pP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  <w:szCs w:val="28"/>
        </w:rPr>
      </w:pPr>
      <w:r>
        <w:rPr>
          <w:color w:val="212529"/>
          <w:spacing w:val="3"/>
          <w:sz w:val="28"/>
          <w:szCs w:val="28"/>
        </w:rPr>
        <w:t xml:space="preserve">С 6 мая 2024 года действует обновленный Банком России базовый стандарт для негосударственных пенсионных фондов (далее </w:t>
      </w:r>
      <w:r>
        <w:rPr>
          <w:color w:val="212529"/>
          <w:sz w:val="28"/>
          <w:szCs w:val="28"/>
        </w:rPr>
        <w:t>–</w:t>
      </w:r>
      <w:r>
        <w:rPr>
          <w:color w:val="212529"/>
          <w:spacing w:val="3"/>
          <w:sz w:val="28"/>
          <w:szCs w:val="28"/>
        </w:rPr>
        <w:t xml:space="preserve"> НПФ). В том числе введен период охлаждения при заключении договоров негосударственного пенсионного обеспечения (далее </w:t>
      </w:r>
      <w:r>
        <w:rPr>
          <w:color w:val="212529"/>
          <w:sz w:val="28"/>
          <w:szCs w:val="28"/>
        </w:rPr>
        <w:t>–</w:t>
      </w:r>
      <w:r>
        <w:rPr>
          <w:color w:val="212529"/>
          <w:spacing w:val="3"/>
          <w:sz w:val="28"/>
          <w:szCs w:val="28"/>
        </w:rPr>
        <w:t xml:space="preserve"> НПО).</w:t>
      </w: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  <w:szCs w:val="28"/>
        </w:rPr>
      </w:pPr>
      <w:r>
        <w:rPr>
          <w:color w:val="212529"/>
          <w:spacing w:val="3"/>
          <w:sz w:val="28"/>
          <w:szCs w:val="28"/>
        </w:rPr>
        <w:t xml:space="preserve">Теперь клиент может в течение 14 дней расторгнуть договор с негосударственным пенсионным фондом (НПФ), который он оформил через </w:t>
      </w:r>
      <w:r>
        <w:rPr>
          <w:color w:val="212529"/>
          <w:spacing w:val="3"/>
          <w:sz w:val="28"/>
          <w:szCs w:val="28"/>
        </w:rPr>
        <w:lastRenderedPageBreak/>
        <w:t>агента. Ранее только некоторые НПФ добровольно применяли подобные практики.</w:t>
      </w: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  <w:szCs w:val="28"/>
        </w:rPr>
      </w:pPr>
      <w:r>
        <w:rPr>
          <w:color w:val="212529"/>
          <w:spacing w:val="3"/>
          <w:sz w:val="28"/>
          <w:szCs w:val="28"/>
        </w:rPr>
        <w:t>Также НПФ будут добавлять больше сведений в ключевой информационный документ, который клиенты получают перед заключением договора НПО. Теперь должен быть раздел о системе гарантий на случай, если НПФ обанкротится или у него аннулируют лицензию. Там будут указаны размер возмещения и порядок выплат.</w:t>
      </w:r>
    </w:p>
    <w:p w:rsidR="00E23E89" w:rsidRDefault="00704B5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  <w:szCs w:val="28"/>
        </w:rPr>
      </w:pPr>
      <w:r>
        <w:rPr>
          <w:color w:val="212529"/>
          <w:spacing w:val="3"/>
          <w:sz w:val="28"/>
          <w:szCs w:val="28"/>
        </w:rPr>
        <w:t>Также НПФ обязан обеспечить безубыточность инвестиций, указывают в Банке России. В ключевом информационном документе будет прописано, что фонд обязан отражать на пенсионном счете НПО результаты инвестирования денег клиента.</w:t>
      </w:r>
    </w:p>
    <w:p w:rsidR="00E23E89" w:rsidRDefault="00704B5F" w:rsidP="00061D1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pacing w:val="3"/>
          <w:sz w:val="28"/>
          <w:szCs w:val="28"/>
        </w:rPr>
      </w:pPr>
      <w:r>
        <w:rPr>
          <w:color w:val="212529"/>
          <w:spacing w:val="3"/>
          <w:sz w:val="28"/>
          <w:szCs w:val="28"/>
        </w:rPr>
        <w:t>Если НПФ понёс убытки, он должен восполнить пенсионный счет клиента на эту величину. Также НПФ не может уменьшить размер негосударственной пенсии и продолжительность ее выплаты в случае отрицательного результата при размещении пенсионных резервов, сообщили в ЦБ РФ.</w:t>
      </w:r>
    </w:p>
    <w:p w:rsidR="00061D1F" w:rsidRPr="00061D1F" w:rsidRDefault="00061D1F" w:rsidP="00061D1F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pacing w:val="3"/>
          <w:sz w:val="28"/>
          <w:szCs w:val="28"/>
        </w:rPr>
      </w:pPr>
    </w:p>
    <w:p w:rsidR="00E23E89" w:rsidRDefault="00704B5F">
      <w:pPr>
        <w:shd w:val="clear" w:color="auto" w:fill="FFFFFF"/>
        <w:spacing w:after="100" w:afterAutospacing="1" w:line="240" w:lineRule="auto"/>
        <w:ind w:firstLine="567"/>
        <w:jc w:val="both"/>
        <w:rPr>
          <w:rFonts w:ascii="Times New Roman" w:hAnsi="Times New Roman" w:cs="Times New Roman"/>
          <w:b/>
          <w:color w:val="212529"/>
          <w:sz w:val="28"/>
          <w:shd w:val="clear" w:color="auto" w:fill="FFFFFF"/>
        </w:rPr>
      </w:pPr>
      <w:r>
        <w:rPr>
          <w:rFonts w:ascii="Times New Roman" w:hAnsi="Times New Roman" w:cs="Times New Roman"/>
          <w:b/>
          <w:color w:val="212529"/>
          <w:sz w:val="28"/>
          <w:shd w:val="clear" w:color="auto" w:fill="FFFFFF"/>
        </w:rPr>
        <w:t>Ограничение на размер взыскания с получаемой пенсии</w:t>
      </w:r>
    </w:p>
    <w:p w:rsidR="00E23E89" w:rsidRDefault="00704B5F">
      <w:pPr>
        <w:pStyle w:val="af8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 соответствии с Федеральным законом от 29.05.2023 № 190-ФЗ «О внесении изменений в Федеральный закон «О государственном пенсионном обеспечении в Российской Федерации» и Федеральный закон «О страховых пенсиях» с 01.01.2024 выплата страховой пенсии пенсионерам-должникам производится органами социального фонда с учетом необходимости сохранения доходов пенсионера не ниже уровня прожиточного минимума.</w:t>
      </w:r>
    </w:p>
    <w:p w:rsidR="00E23E89" w:rsidRDefault="00704B5F">
      <w:pPr>
        <w:pStyle w:val="af8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Так, ранее пенсионерам-должникам сохранялся прожиточный минимум на основании их письменного заявления в случае, если взыскание задолженности производится через службу судебных приставов или банк.</w:t>
      </w:r>
    </w:p>
    <w:p w:rsidR="00E23E89" w:rsidRDefault="00704B5F">
      <w:pPr>
        <w:pStyle w:val="af8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 соответствии с порядком, установленным Федеральным законом от 29.05.2023 № 190-ФЗ требования исполнительных документов должны осуществляться органами Социального фонда Российской Федерации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учетом положения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абз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8 ч. 1 ст. 446 Гражданско-процессуального кодекса Российской Федерации, в котором идет речь о сохранении должнику ежемесячного дохода на уровне федерального прожиточного минимума для трудоспособного населения или регионального минимума, если он больше.</w:t>
      </w:r>
    </w:p>
    <w:p w:rsidR="00E23E89" w:rsidRDefault="00704B5F">
      <w:pPr>
        <w:pStyle w:val="af8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Важно, что для сохранения прожиточного минимума пенсионерам не нужно будет обращаться в органы социального фонда с отдельным заявлением, сохранение прожиточного минимума будет осуществляться в </w:t>
      </w:r>
      <w:proofErr w:type="spellStart"/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беззаявительном</w:t>
      </w:r>
      <w:proofErr w:type="spellEnd"/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порядке.</w:t>
      </w:r>
    </w:p>
    <w:p w:rsidR="00E23E89" w:rsidRDefault="00E23E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23E89" w:rsidRDefault="00704B5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Уход за пожилым человеком и субсидия на жилье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 силу п. 4 Правил осуществления ежемесячных компенсационных выплат неработающим трудоспособным лицам, осуществляющим уход за инвалидом I группы (за исключением инвалидов с детства I группы), а также </w:t>
      </w: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за престарелым, нуждающимся по заключению лечебного учреждения в постоянном постороннем уходе либо достигшим возраста 80 лет, утвержденных постановлением Правительства РФ от 04.06.2007 № 343, компенсационная выплата назначается лицу, осуществляющему уход, независимо от родственных отношений и совместного проживания с нетрудоспособным гражданином.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Согласно ч. 1 ст. 159 Жилищного кодекса Российской Федерации субсидии на оплату жилого помещения и коммунальных услуг (далее – субсидии) предоставляются гражданам в случае, если их расходы на оплату жилого помещения и коммунальных услуг, рассчитанные исходя из размера регионального стандарта нормативной площади жилого помещения, используемой для расчета субсидий, и размера регионального стандарта стоимости жилищно-коммунальных услуг, устанавливаемого по правилам ч. 6 данной статьи, превышают величину, соответствующую максимально допустимой доле расходов граждан на оплату жилого помещения и коммунальных услуг в совокупном доходе семьи. 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Размеры региональных стандартов нормативной площади жилого помещения, используемой для расчета субсидий, стоимости жилищно-коммунальных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Федерации.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коэффициентом, равным отношению среднедушевого дохода семьи к прожиточному минимуму.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 соответствии с ч. 2 данной статьи право на субсидии имеют граждане: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1) пользователи жилых помещений государственного и муниципального жилищных фондов;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2) наниматели по договорам найма жилых помещений частного жилищного фонда;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3) члены жилищных кооперативов;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4) собственники жилых помещений.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Правила предоставления субсидий на оплату жилого помещения и коммунальных услуг, утвержденные постановлением Правительства Российской Федерации от 14.12.2005 № 761, определяют: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перечень документов (сведений), необходимых для предоставления субсидии, и порядок их рассмотрения;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порядок определения состава семьи заявителя;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порядок определения размера субсидии;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порядок исчисления совокупного дохода семьи получателя субсидии;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особенности предоставления субсидий отдельным категориям граждан и иные необходимые положения по предоставлению субсидий на жилье.</w:t>
      </w:r>
    </w:p>
    <w:p w:rsidR="00E23E89" w:rsidRDefault="00E23E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E23E89" w:rsidRDefault="00E23E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E23E89" w:rsidRDefault="00704B5F" w:rsidP="000442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 трудовых правах пенсионеров</w:t>
      </w:r>
    </w:p>
    <w:p w:rsidR="000442C9" w:rsidRPr="000442C9" w:rsidRDefault="000442C9" w:rsidP="000442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23E89" w:rsidRDefault="00704B5F">
      <w:pPr>
        <w:shd w:val="clear" w:color="auto" w:fill="FFFFFF"/>
        <w:spacing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Трудовым кодексом Российской Федерации для пенсионеров закреплены дополнительные гарантии их прав.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Прежде всего, пенсионеры при приёме на работу имеют равные права с другими работниками.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Законом запрещено отказывать в заключении трудового договора по причине достижения определенного возраста. Пенсионер, как и любой потенциальный кандидат на должность, вправе потребовать от работодателя причину отказа в приеме на работу в письменной форме.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Кроме того, только по соглашению пенсионера и работодателя возможно заключение срочного трудового договора.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При выходе работника на пенсию переоформлять бессрочный трудовой договор на срочный запрещается.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Работодатель обязан предоставить пенсионеру по его желанию отпуск без сохранения заработной платы до 14 календарных дней в году (если работник является инвалидом до 60 календарных дней в году, участникам Великой Отечественной войны, приравненным к ним лицам или ветеранам боевых действий до 35 календарных дней в году).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Эти дни можно использовать сразу или по частям, но неиспользованные дни на следующий год не переносятся.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Пенсионеры по старости (за выслугу лет) имеют право на два рабочих дня один раз в год для прохождения диспансеризации (с предоставлением подтверждающих документов) и с сохранением среднего заработка, даты которых согласовываются с работодателем в заявительном порядке.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Достижение пенсионного возраста не является основанием для расторжения трудового договора.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Пенсионер может уволиться со собственному желанию, в срок, указанный в заявлении, без предупреждения работодателя за 2 недели.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Основанием для увольнения в данном случае будет выход на пенсию впервые.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При увольнении по сокращению штата (численности) работников, ликвидации организации пенсионеры имеют право на те же выплаты, что и другие работники.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Работодатель обязан выплатить выходное пособие в размере среднего месячного заработка, а при не трудоустройстве на работу через месяц после сокращения – средний месячный заработок за второй месяц, а по решению службы занятости – средний месячный заработок и за третий месяц или его часть пропорционально периоду трудоустройства.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 случае нарушения прав можно обратиться: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в Государственную инспекцию труда;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прокуратуру.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Кроме этого, согласно ст. ст. 391, 392 Трудового кодекса Российской Федерации предусмотрена возможность обращения в суд.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Работник имеет право на обращение в суд в течение трёх месяцев со дня, когда он узнал или должен был узнать о нарушении своего права. В течение одного месяца по спорам об увольнении со дня вручения копии приказа об увольнении либо выдачи трудовой книжки или предоставления сведений о трудовой деятельности. В течение одного года по спорам о невыплате или неполной выплате заработной платы и других выплат.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Требование о компенсации морального вреда может быть заявлено в суд одновременно с требованием о восстановлении нарушенных трудовых прав либо в течение трёх месяцев после вступления в законную силу решения суда, которым эти права были восстановлены полностью или частично.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При пропуске по уважительным причинам (болезнь, нахождение в командировке, необходимости осуществления ухода за тяжелобольными членами семьи и т.п.) установленных сроков, они могут быть восстановлены судом.</w:t>
      </w:r>
    </w:p>
    <w:p w:rsidR="00E23E89" w:rsidRDefault="00704B5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Работники освобождаются от оплаты пошлин и судебных расходов.</w:t>
      </w:r>
    </w:p>
    <w:p w:rsidR="00E23E89" w:rsidRDefault="00E23E8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</w:p>
    <w:p w:rsidR="00E23E89" w:rsidRDefault="00E23E89">
      <w:pPr>
        <w:shd w:val="clear" w:color="auto" w:fill="FFFFFF"/>
        <w:spacing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4"/>
          <w:lang w:eastAsia="ru-RU"/>
        </w:rPr>
      </w:pPr>
    </w:p>
    <w:p w:rsidR="00E23E89" w:rsidRDefault="00E23E89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  <w:szCs w:val="28"/>
        </w:rPr>
      </w:pPr>
    </w:p>
    <w:p w:rsidR="00E23E89" w:rsidRDefault="00E23E89">
      <w:pPr>
        <w:pStyle w:val="afa"/>
        <w:shd w:val="clear" w:color="auto" w:fill="FFFFFF"/>
        <w:spacing w:before="0" w:beforeAutospacing="0" w:after="0" w:afterAutospacing="0"/>
        <w:ind w:firstLine="567"/>
        <w:jc w:val="both"/>
        <w:rPr>
          <w:color w:val="212529"/>
          <w:sz w:val="28"/>
        </w:rPr>
      </w:pPr>
    </w:p>
    <w:p w:rsidR="00E23E89" w:rsidRDefault="00E23E89">
      <w:pPr>
        <w:pStyle w:val="afa"/>
        <w:shd w:val="clear" w:color="auto" w:fill="FFFFFF"/>
        <w:spacing w:before="0" w:beforeAutospacing="0"/>
        <w:ind w:firstLine="567"/>
        <w:jc w:val="both"/>
        <w:rPr>
          <w:color w:val="212529"/>
          <w:sz w:val="28"/>
        </w:rPr>
      </w:pPr>
    </w:p>
    <w:p w:rsidR="00E23E89" w:rsidRDefault="00E23E89">
      <w:pPr>
        <w:spacing w:after="0" w:line="283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E23E89">
      <w:headerReference w:type="default" r:id="rId7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4D15" w:rsidRDefault="003E4D15">
      <w:pPr>
        <w:spacing w:after="0" w:line="240" w:lineRule="auto"/>
      </w:pPr>
      <w:r>
        <w:separator/>
      </w:r>
    </w:p>
  </w:endnote>
  <w:endnote w:type="continuationSeparator" w:id="0">
    <w:p w:rsidR="003E4D15" w:rsidRDefault="003E4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4D15" w:rsidRDefault="003E4D15">
      <w:pPr>
        <w:spacing w:after="0" w:line="240" w:lineRule="auto"/>
      </w:pPr>
      <w:r>
        <w:separator/>
      </w:r>
    </w:p>
  </w:footnote>
  <w:footnote w:type="continuationSeparator" w:id="0">
    <w:p w:rsidR="003E4D15" w:rsidRDefault="003E4D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54958842"/>
      <w:docPartObj>
        <w:docPartGallery w:val="Page Numbers (Top of Page)"/>
        <w:docPartUnique/>
      </w:docPartObj>
    </w:sdtPr>
    <w:sdtEndPr/>
    <w:sdtContent>
      <w:p w:rsidR="00E23E89" w:rsidRDefault="00704B5F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61D1F">
          <w:rPr>
            <w:rFonts w:ascii="Times New Roman" w:hAnsi="Times New Roman" w:cs="Times New Roman"/>
            <w:noProof/>
            <w:sz w:val="24"/>
            <w:szCs w:val="24"/>
          </w:rPr>
          <w:t>6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23E89" w:rsidRDefault="00E23E89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DE06B3"/>
    <w:multiLevelType w:val="hybridMultilevel"/>
    <w:tmpl w:val="87EC0600"/>
    <w:lvl w:ilvl="0" w:tplc="9E025F20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AB080072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</w:rPr>
    </w:lvl>
    <w:lvl w:ilvl="2" w:tplc="6640107C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</w:rPr>
    </w:lvl>
    <w:lvl w:ilvl="3" w:tplc="D968F90C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F7CA82C6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</w:rPr>
    </w:lvl>
    <w:lvl w:ilvl="5" w:tplc="5192AF70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</w:rPr>
    </w:lvl>
    <w:lvl w:ilvl="6" w:tplc="FCA4BEA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AE36CFF0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</w:rPr>
    </w:lvl>
    <w:lvl w:ilvl="8" w:tplc="D820D836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</w:rPr>
    </w:lvl>
  </w:abstractNum>
  <w:abstractNum w:abstractNumId="1" w15:restartNumberingAfterBreak="0">
    <w:nsid w:val="65B5186D"/>
    <w:multiLevelType w:val="hybridMultilevel"/>
    <w:tmpl w:val="70C0EDE0"/>
    <w:lvl w:ilvl="0" w:tplc="71E25752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44BEBF50">
      <w:start w:val="1"/>
      <w:numFmt w:val="bullet"/>
      <w:lvlText w:val="·"/>
      <w:lvlJc w:val="left"/>
      <w:pPr>
        <w:ind w:left="1429" w:hanging="360"/>
      </w:pPr>
      <w:rPr>
        <w:rFonts w:ascii="Symbol" w:eastAsia="Symbol" w:hAnsi="Symbol" w:cs="Symbol" w:hint="default"/>
      </w:rPr>
    </w:lvl>
    <w:lvl w:ilvl="2" w:tplc="09C89B6E">
      <w:start w:val="1"/>
      <w:numFmt w:val="bullet"/>
      <w:lvlText w:val="·"/>
      <w:lvlJc w:val="left"/>
      <w:pPr>
        <w:ind w:left="2149" w:hanging="360"/>
      </w:pPr>
      <w:rPr>
        <w:rFonts w:ascii="Symbol" w:eastAsia="Symbol" w:hAnsi="Symbol" w:cs="Symbol" w:hint="default"/>
      </w:rPr>
    </w:lvl>
    <w:lvl w:ilvl="3" w:tplc="7B16920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AB7E7F28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 w:cs="Symbol" w:hint="default"/>
      </w:rPr>
    </w:lvl>
    <w:lvl w:ilvl="5" w:tplc="C43AA248">
      <w:start w:val="1"/>
      <w:numFmt w:val="bullet"/>
      <w:lvlText w:val="·"/>
      <w:lvlJc w:val="left"/>
      <w:pPr>
        <w:ind w:left="4309" w:hanging="360"/>
      </w:pPr>
      <w:rPr>
        <w:rFonts w:ascii="Symbol" w:eastAsia="Symbol" w:hAnsi="Symbol" w:cs="Symbol" w:hint="default"/>
      </w:rPr>
    </w:lvl>
    <w:lvl w:ilvl="6" w:tplc="42DC7FFE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C22EDA74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 w:cs="Symbol" w:hint="default"/>
      </w:rPr>
    </w:lvl>
    <w:lvl w:ilvl="8" w:tplc="2CA05C5C">
      <w:start w:val="1"/>
      <w:numFmt w:val="bullet"/>
      <w:lvlText w:val="·"/>
      <w:lvlJc w:val="left"/>
      <w:pPr>
        <w:ind w:left="6469" w:hanging="360"/>
      </w:pPr>
      <w:rPr>
        <w:rFonts w:ascii="Symbol" w:eastAsia="Symbol" w:hAnsi="Symbol" w:cs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E89"/>
    <w:rsid w:val="000442C9"/>
    <w:rsid w:val="00061D1F"/>
    <w:rsid w:val="003E4D15"/>
    <w:rsid w:val="00425E2E"/>
    <w:rsid w:val="00704B5F"/>
    <w:rsid w:val="00DF6C20"/>
    <w:rsid w:val="00E23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E145C"/>
  <w15:docId w15:val="{B05AEBBF-8C26-49F0-8D24-1A0832290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1843</Words>
  <Characters>10509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Дроздова Елена Владимировна</dc:creator>
  <cp:lastModifiedBy>Дроздова Елена Владимировна</cp:lastModifiedBy>
  <cp:revision>4</cp:revision>
  <dcterms:created xsi:type="dcterms:W3CDTF">2024-09-27T01:27:00Z</dcterms:created>
  <dcterms:modified xsi:type="dcterms:W3CDTF">2024-09-27T06:14:00Z</dcterms:modified>
</cp:coreProperties>
</file>